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4D38" w14:textId="140BA161" w:rsidR="00323880" w:rsidRPr="00310995" w:rsidRDefault="00323880" w:rsidP="00323880">
      <w:pPr>
        <w:jc w:val="right"/>
      </w:pPr>
      <w:r w:rsidRPr="00310995">
        <w:t xml:space="preserve">Warszawa, dnia </w:t>
      </w:r>
      <w:r w:rsidR="00130ACC">
        <w:t>24</w:t>
      </w:r>
      <w:r w:rsidRPr="00310995">
        <w:t xml:space="preserve"> </w:t>
      </w:r>
      <w:r w:rsidR="00130ACC">
        <w:t>marca</w:t>
      </w:r>
      <w:r w:rsidRPr="00310995">
        <w:t xml:space="preserve"> 202</w:t>
      </w:r>
      <w:r w:rsidR="00130ACC">
        <w:t>6</w:t>
      </w:r>
      <w:r w:rsidRPr="00310995">
        <w:t xml:space="preserve"> r.</w:t>
      </w:r>
    </w:p>
    <w:p w14:paraId="480CF2B1" w14:textId="77777777" w:rsidR="00130ACC" w:rsidRPr="00130ACC" w:rsidRDefault="00323880" w:rsidP="00130ACC">
      <w:pPr>
        <w:jc w:val="center"/>
        <w:rPr>
          <w:b/>
          <w:bCs/>
          <w:i/>
          <w:iCs/>
        </w:rPr>
      </w:pPr>
      <w:r w:rsidRPr="006D5584">
        <w:rPr>
          <w:b/>
          <w:bCs/>
        </w:rPr>
        <w:t xml:space="preserve">Zestawienie </w:t>
      </w:r>
      <w:r w:rsidR="006E0C59" w:rsidRPr="006E0C59">
        <w:rPr>
          <w:b/>
          <w:bCs/>
        </w:rPr>
        <w:t>nieuwzględnionych uwag zgłoszonych w ramach opiniowania</w:t>
      </w:r>
      <w:r>
        <w:rPr>
          <w:b/>
          <w:bCs/>
        </w:rPr>
        <w:t xml:space="preserve"> </w:t>
      </w:r>
      <w:r w:rsidR="00130ACC" w:rsidRPr="00130ACC">
        <w:rPr>
          <w:b/>
          <w:bCs/>
          <w:i/>
          <w:iCs/>
        </w:rPr>
        <w:t xml:space="preserve">projektu ustawy o zmianie ustawy </w:t>
      </w:r>
      <w:r w:rsidR="00130ACC" w:rsidRPr="00130ACC">
        <w:rPr>
          <w:b/>
          <w:bCs/>
          <w:i/>
          <w:iCs/>
        </w:rPr>
        <w:br/>
        <w:t>o Krajowym Rejestrze Sądowym oraz niektórych innych ustaw</w:t>
      </w:r>
      <w:r w:rsidR="00130ACC" w:rsidRPr="00130ACC">
        <w:rPr>
          <w:b/>
          <w:bCs/>
        </w:rPr>
        <w:t xml:space="preserve"> (UDER49)</w:t>
      </w:r>
    </w:p>
    <w:tbl>
      <w:tblPr>
        <w:tblStyle w:val="Tabela-Siatka"/>
        <w:tblpPr w:leftFromText="141" w:rightFromText="141" w:vertAnchor="page" w:horzAnchor="margin" w:tblpXSpec="center" w:tblpY="4455"/>
        <w:tblW w:w="12611" w:type="dxa"/>
        <w:tblLook w:val="04A0" w:firstRow="1" w:lastRow="0" w:firstColumn="1" w:lastColumn="0" w:noHBand="0" w:noVBand="1"/>
      </w:tblPr>
      <w:tblGrid>
        <w:gridCol w:w="826"/>
        <w:gridCol w:w="2708"/>
        <w:gridCol w:w="1696"/>
        <w:gridCol w:w="3335"/>
        <w:gridCol w:w="4046"/>
      </w:tblGrid>
      <w:tr w:rsidR="007A63F1" w14:paraId="0A5DBC04" w14:textId="77777777" w:rsidTr="00A508E2">
        <w:tc>
          <w:tcPr>
            <w:tcW w:w="826" w:type="dxa"/>
            <w:shd w:val="clear" w:color="auto" w:fill="E8E8E8" w:themeFill="background2"/>
          </w:tcPr>
          <w:p w14:paraId="353C66A8" w14:textId="52E95F23" w:rsidR="003C6E89" w:rsidRPr="00E41482" w:rsidRDefault="003C6E89" w:rsidP="00323880">
            <w:pPr>
              <w:rPr>
                <w:b/>
                <w:bCs/>
              </w:rPr>
            </w:pPr>
            <w:r w:rsidRPr="00E41482">
              <w:rPr>
                <w:b/>
                <w:bCs/>
              </w:rPr>
              <w:t>Lp.</w:t>
            </w:r>
          </w:p>
        </w:tc>
        <w:tc>
          <w:tcPr>
            <w:tcW w:w="2708" w:type="dxa"/>
            <w:shd w:val="clear" w:color="auto" w:fill="E8E8E8" w:themeFill="background2"/>
          </w:tcPr>
          <w:p w14:paraId="49801B2A" w14:textId="77777777" w:rsidR="003C6E89" w:rsidRPr="00007F12" w:rsidRDefault="003C6E89" w:rsidP="00323880">
            <w:pPr>
              <w:rPr>
                <w:b/>
                <w:bCs/>
              </w:rPr>
            </w:pPr>
            <w:r w:rsidRPr="00007F12">
              <w:rPr>
                <w:b/>
                <w:bCs/>
              </w:rPr>
              <w:t>Podmiot</w:t>
            </w:r>
          </w:p>
          <w:p w14:paraId="529EFA17" w14:textId="77777777" w:rsidR="003C6E89" w:rsidRPr="00007F12" w:rsidRDefault="003C6E89" w:rsidP="00323880">
            <w:pPr>
              <w:rPr>
                <w:b/>
                <w:bCs/>
              </w:rPr>
            </w:pPr>
            <w:r w:rsidRPr="00007F12">
              <w:rPr>
                <w:b/>
                <w:bCs/>
              </w:rPr>
              <w:t>zgłaszający</w:t>
            </w:r>
          </w:p>
          <w:p w14:paraId="37ED2A69" w14:textId="77777777" w:rsidR="003C6E89" w:rsidRPr="00007F12" w:rsidRDefault="003C6E89" w:rsidP="00323880">
            <w:pPr>
              <w:rPr>
                <w:b/>
                <w:bCs/>
              </w:rPr>
            </w:pPr>
            <w:r w:rsidRPr="00007F12">
              <w:rPr>
                <w:b/>
                <w:bCs/>
              </w:rPr>
              <w:t>uwagi</w:t>
            </w:r>
          </w:p>
          <w:p w14:paraId="693B0D00" w14:textId="77777777" w:rsidR="003C6E89" w:rsidRDefault="003C6E89" w:rsidP="00323880"/>
        </w:tc>
        <w:tc>
          <w:tcPr>
            <w:tcW w:w="1696" w:type="dxa"/>
            <w:shd w:val="clear" w:color="auto" w:fill="E8E8E8" w:themeFill="background2"/>
          </w:tcPr>
          <w:p w14:paraId="196EAE44" w14:textId="2B443FC6" w:rsidR="003C6E89" w:rsidRPr="00933E76" w:rsidRDefault="003C6E89" w:rsidP="00323880">
            <w:pPr>
              <w:rPr>
                <w:b/>
                <w:bCs/>
              </w:rPr>
            </w:pPr>
            <w:r w:rsidRPr="00933E76">
              <w:rPr>
                <w:b/>
                <w:bCs/>
              </w:rPr>
              <w:t xml:space="preserve">Uwaga dotyczy </w:t>
            </w:r>
          </w:p>
        </w:tc>
        <w:tc>
          <w:tcPr>
            <w:tcW w:w="3335" w:type="dxa"/>
            <w:shd w:val="clear" w:color="auto" w:fill="E8E8E8" w:themeFill="background2"/>
          </w:tcPr>
          <w:p w14:paraId="46202472" w14:textId="18F61EA0" w:rsidR="003C6E89" w:rsidRPr="00933E76" w:rsidRDefault="003C6E89" w:rsidP="00323880">
            <w:pPr>
              <w:rPr>
                <w:b/>
                <w:bCs/>
              </w:rPr>
            </w:pPr>
            <w:r w:rsidRPr="00933E76">
              <w:rPr>
                <w:b/>
                <w:bCs/>
              </w:rPr>
              <w:t>Treść uwagi</w:t>
            </w:r>
          </w:p>
        </w:tc>
        <w:tc>
          <w:tcPr>
            <w:tcW w:w="4046" w:type="dxa"/>
            <w:shd w:val="clear" w:color="auto" w:fill="E8E8E8" w:themeFill="background2"/>
          </w:tcPr>
          <w:p w14:paraId="5A22F6AA" w14:textId="150213B6" w:rsidR="003C6E89" w:rsidRPr="00933E76" w:rsidRDefault="003C6E89" w:rsidP="00323880">
            <w:pPr>
              <w:rPr>
                <w:b/>
                <w:bCs/>
              </w:rPr>
            </w:pPr>
            <w:r w:rsidRPr="00933E76">
              <w:rPr>
                <w:b/>
                <w:bCs/>
              </w:rPr>
              <w:t>Stanowisko MS</w:t>
            </w:r>
          </w:p>
        </w:tc>
      </w:tr>
      <w:tr w:rsidR="007D3172" w14:paraId="5E676FA6" w14:textId="77777777" w:rsidTr="00A508E2">
        <w:tc>
          <w:tcPr>
            <w:tcW w:w="826" w:type="dxa"/>
          </w:tcPr>
          <w:p w14:paraId="4E91657E" w14:textId="17B369C0" w:rsidR="007D3172" w:rsidRDefault="007D3172" w:rsidP="00323880">
            <w:pPr>
              <w:pStyle w:val="Akapitzlist"/>
              <w:numPr>
                <w:ilvl w:val="0"/>
                <w:numId w:val="1"/>
              </w:numPr>
            </w:pPr>
          </w:p>
        </w:tc>
        <w:tc>
          <w:tcPr>
            <w:tcW w:w="2708" w:type="dxa"/>
          </w:tcPr>
          <w:p w14:paraId="3AEF78C0" w14:textId="105AD75A" w:rsidR="007D3172" w:rsidRDefault="00480CF3" w:rsidP="00323880">
            <w:r w:rsidRPr="00480CF3">
              <w:rPr>
                <w:bCs/>
              </w:rPr>
              <w:t>SA w Gdańsku</w:t>
            </w:r>
          </w:p>
        </w:tc>
        <w:tc>
          <w:tcPr>
            <w:tcW w:w="1696" w:type="dxa"/>
          </w:tcPr>
          <w:p w14:paraId="0FF83FC2" w14:textId="065208BE" w:rsidR="007D3172" w:rsidRPr="00480CF3" w:rsidRDefault="00480CF3" w:rsidP="00323880">
            <w:r w:rsidRPr="00480CF3">
              <w:t>Uwaga ogólna</w:t>
            </w:r>
          </w:p>
        </w:tc>
        <w:tc>
          <w:tcPr>
            <w:tcW w:w="3335" w:type="dxa"/>
          </w:tcPr>
          <w:p w14:paraId="41B2BF6E" w14:textId="149C4EC4" w:rsidR="007D3172" w:rsidRDefault="00480CF3" w:rsidP="00323880">
            <w:r w:rsidRPr="00480CF3">
              <w:t xml:space="preserve">Wprowadzając zmianę do art. 10 Ustawy o Krajowym Rejestrze Sądowym należałoby w rozporządzeniu wykonawczym do ustawy w sposób precyzyjny i całościowy określić jakie podmioty lub osoby fizyczne mogą występować o dostęp do elektronicznych akt rejestrowych prowadzonych w Repozytorium Akt Rejestrowych (RAR) jako użytkownik jednorazowy lub użytkownik nazwany. Brak regulacji prawnej w tym zakresie utrudnia sądom </w:t>
            </w:r>
            <w:r w:rsidRPr="00480CF3">
              <w:lastRenderedPageBreak/>
              <w:t>rejestrowym odmowę takiego dostępu przy równocześnie statuowanej w art. 10 ust. 1 ustawy o KRS zasadzie jawności akt rejestrowych. Należy zauważyć, że nadanie jednorazowego hasła dostępu do RAR umożliwia przeglądanie dokumentów ze statusem jawności dokumentu jako „ograniczony”.</w:t>
            </w:r>
          </w:p>
        </w:tc>
        <w:tc>
          <w:tcPr>
            <w:tcW w:w="4046" w:type="dxa"/>
          </w:tcPr>
          <w:p w14:paraId="42421B6B" w14:textId="77777777" w:rsidR="006F4F00" w:rsidRDefault="007D3172" w:rsidP="00323880">
            <w:pPr>
              <w:rPr>
                <w:b/>
                <w:bCs/>
              </w:rPr>
            </w:pPr>
            <w:r w:rsidRPr="007D3172">
              <w:rPr>
                <w:b/>
                <w:bCs/>
              </w:rPr>
              <w:lastRenderedPageBreak/>
              <w:t>Uwaga nieuwzględniona</w:t>
            </w:r>
          </w:p>
          <w:p w14:paraId="5B908244" w14:textId="77777777" w:rsidR="00A41E79" w:rsidRDefault="00A41E79" w:rsidP="00323880">
            <w:pPr>
              <w:rPr>
                <w:b/>
                <w:bCs/>
              </w:rPr>
            </w:pPr>
          </w:p>
          <w:p w14:paraId="0166C385" w14:textId="209FF90C" w:rsidR="007D3172" w:rsidRPr="00A41E79" w:rsidRDefault="00A41E79" w:rsidP="00323880">
            <w:r w:rsidRPr="00A41E79">
              <w:t xml:space="preserve">Należy wskazać, że zgodnie z art. 10 ust. 1 ustawy o KRS każdy ma prawo przeglądania akt rejestrowych podmiotów wpisanych do Rejestru oraz zbioru dokumentów, o którym mowa w art. 9 ust. 6, chyba że ustawa stanowi inaczej. Zgodnie z § 198 ust. 5 rozporządzenia MS - Regulamin urzędowania sądów powszechnych dokumenty składane do sądu rejestrowego podlegają przed ich udostępnieniem ocenie przez ten sąd w celu ochrony danych osobowych. Zatem w każdym przypadku sąd rejestrowy decyduje o </w:t>
            </w:r>
            <w:r w:rsidRPr="00A41E79">
              <w:lastRenderedPageBreak/>
              <w:t>tym, komu i jakie dokumenty ma udostępnić. Należy jednocześnie wskazać, że obowiązujące przepisy ustawy o KRS oraz aktów wykonawczych nie posługują się pojęciem użytkownika jednorazowego i użytkownika nazwanego. Ponadto w uwadze jest wskazano, w którym akcie wykonawczym należałoby uregulować kwestię dostępu do akt użytkownika jednorazowego i użytkownika nazwanego.</w:t>
            </w:r>
          </w:p>
        </w:tc>
      </w:tr>
      <w:tr w:rsidR="00C609D9" w14:paraId="5466EE2D" w14:textId="77777777" w:rsidTr="00A508E2">
        <w:tc>
          <w:tcPr>
            <w:tcW w:w="826" w:type="dxa"/>
          </w:tcPr>
          <w:p w14:paraId="0BE38146" w14:textId="77777777" w:rsidR="00C609D9" w:rsidRDefault="00C609D9" w:rsidP="00323880">
            <w:pPr>
              <w:pStyle w:val="Akapitzlist"/>
              <w:numPr>
                <w:ilvl w:val="0"/>
                <w:numId w:val="1"/>
              </w:numPr>
            </w:pPr>
          </w:p>
        </w:tc>
        <w:tc>
          <w:tcPr>
            <w:tcW w:w="2708" w:type="dxa"/>
          </w:tcPr>
          <w:p w14:paraId="31E3213D" w14:textId="074719C2" w:rsidR="00C609D9" w:rsidRPr="00480CF3" w:rsidRDefault="00C609D9" w:rsidP="00323880">
            <w:pPr>
              <w:rPr>
                <w:bCs/>
              </w:rPr>
            </w:pPr>
            <w:r w:rsidRPr="00C609D9">
              <w:rPr>
                <w:bCs/>
              </w:rPr>
              <w:t>SA w Poznaniu</w:t>
            </w:r>
          </w:p>
        </w:tc>
        <w:tc>
          <w:tcPr>
            <w:tcW w:w="1696" w:type="dxa"/>
          </w:tcPr>
          <w:p w14:paraId="717EED96" w14:textId="60711D0B" w:rsidR="00C609D9" w:rsidRPr="00480CF3" w:rsidRDefault="00C609D9" w:rsidP="00323880">
            <w:r w:rsidRPr="00C609D9">
              <w:t>Uwaga ogólna</w:t>
            </w:r>
          </w:p>
        </w:tc>
        <w:tc>
          <w:tcPr>
            <w:tcW w:w="3335" w:type="dxa"/>
          </w:tcPr>
          <w:p w14:paraId="22337D7E" w14:textId="77777777" w:rsidR="00374289" w:rsidRDefault="00374289" w:rsidP="00374289">
            <w:r>
              <w:t xml:space="preserve">Poważne wątpliwości budzą również proponowane rozwiązania związane z ochroną danych osobowych w aktach rejestrowych. Wydaje się, że przesłanki tej ochrony winny być szczegółowiej określone w ustawie o KRS. Zawarta w projekcie zmiany art. 10 ust. 1 ustawy propozycja zamiany wyrazu „ustawa” na „przepis szczególny”, która w zamierzeniach projektodawców ma prowadzić do uwzględniania przez sądy rejestrowe szeregu </w:t>
            </w:r>
            <w:r>
              <w:lastRenderedPageBreak/>
              <w:t xml:space="preserve">przepisów związanych z materią ochrony danych (zwłaszcza tzw. RODO), nie jest rozwiązaniem trafnym. Już dziś widoczne są bardzo poważne rozbieżności praktyk poszczególnych sądów rejestrowych w tym zakresie, od restrykcyjnych (które mogą realnie utrudnić dostęp do akt rejestrowych osobom trzecich) do bardzo liberalnych, uznających przepisy o KRS za szczególne wobec regulacji o ochronie danych. Zarówno aktualne przepisy, jak i te proponowane, przenoszą odpowiedzialność za ochronę danych osobowych w aktach wyłącznie na sądy rejestrowe, i to bez wyposażenia ich w jednoznaczne kryteria działania w tym zakresie. W efekcie powstaje paradoks, iż regulacje ramowe o ochronie danych przewidują wyjątki zawarte w ustawach szczególnych, te zaś (np. ustawa o KRS) odsyła </w:t>
            </w:r>
            <w:r>
              <w:lastRenderedPageBreak/>
              <w:t>ponownie do przepisów o ochronie danych.</w:t>
            </w:r>
          </w:p>
          <w:p w14:paraId="2C62187A" w14:textId="77777777" w:rsidR="00374289" w:rsidRDefault="00374289" w:rsidP="00374289">
            <w:r>
              <w:t xml:space="preserve">Wprawdzie projekt przewiduje obowiązek </w:t>
            </w:r>
            <w:proofErr w:type="spellStart"/>
            <w:r>
              <w:t>anonimizowania</w:t>
            </w:r>
            <w:proofErr w:type="spellEnd"/>
            <w:r>
              <w:t xml:space="preserve"> danych przez samych wnioskodawców (por. art. 19aa ustawy o KRS), jednakże w dalszym ciągu będzie budził wątpliwości sam zakres tej ochrony (np. czy będą to adresy członków władz podmiotów, które są istotne nie tylko dla postępowań sądowych, ale również w szeroko rozumianym obrocie gospodarczym). Projekt nie rozstrzyga również jednoznacznie jak się ma składanie wyciągów dokumentów pomijających dane osobowe do obowiązku z art. art. 6944 k.p.c. zgłaszania dokumentów stanowiących podstawę wpisu w formie oryginału lub poświadczonego urzędu odpisu lub wyciągu.</w:t>
            </w:r>
          </w:p>
          <w:p w14:paraId="2D6D77D3" w14:textId="4A51C1A8" w:rsidR="00C609D9" w:rsidRPr="00480CF3" w:rsidRDefault="00374289" w:rsidP="00374289">
            <w:r>
              <w:t xml:space="preserve">Powyższe wątpliwości co do zakresu ochrony danych osobowych mogą </w:t>
            </w:r>
            <w:r>
              <w:lastRenderedPageBreak/>
              <w:t>powodować istotne rozbieżności w ocenie podstaw do zwrotu wniosków lub innych pism procesowych na podstawie projektowanego art. 19aa ust. 2 ustawy o KRS.</w:t>
            </w:r>
          </w:p>
        </w:tc>
        <w:tc>
          <w:tcPr>
            <w:tcW w:w="4046" w:type="dxa"/>
          </w:tcPr>
          <w:p w14:paraId="1F5C2FA6" w14:textId="77777777" w:rsidR="00755A77" w:rsidRDefault="00755A77" w:rsidP="00755A77">
            <w:pPr>
              <w:rPr>
                <w:b/>
                <w:bCs/>
              </w:rPr>
            </w:pPr>
            <w:r w:rsidRPr="00755A77">
              <w:rPr>
                <w:b/>
                <w:bCs/>
              </w:rPr>
              <w:lastRenderedPageBreak/>
              <w:t>Uwaga nieuwzględniona</w:t>
            </w:r>
          </w:p>
          <w:p w14:paraId="3BDB2079" w14:textId="77777777" w:rsidR="00755A77" w:rsidRPr="00755A77" w:rsidRDefault="00755A77" w:rsidP="00755A77">
            <w:pPr>
              <w:rPr>
                <w:b/>
                <w:bCs/>
              </w:rPr>
            </w:pPr>
          </w:p>
          <w:p w14:paraId="5B9A9585" w14:textId="02460936" w:rsidR="00C609D9" w:rsidRPr="00755A77" w:rsidRDefault="00755A77" w:rsidP="00755A77">
            <w:r w:rsidRPr="00755A77">
              <w:t xml:space="preserve">Odnosząc się do kwestii ochrony danych i wskazanie, że „przesłanki tej ochrony winny być szczegółowiej określone w ustawie o KRS” należy zauważyć, że dane, które podlegają ujawnieniu w Krajowym Rejestrze Sądowym oraz złożeniu do akt rejestrowych są określone w ustawie o KRS oraz innych przepisach. Zatem nie jest zasadne określanie przesłanek ochrony danych osobowych w ustawie o KRS. Jednocześnie w uzasadnieniu dopisano, że pod pojęciem wyciągu, o którym mowa w art. 19aa należy </w:t>
            </w:r>
            <w:r w:rsidRPr="00755A77">
              <w:lastRenderedPageBreak/>
              <w:t>rozumieć np.: sporządzoną kopię takiego dokumentu lub wyciąg takiego dokumentu (bez konieczności urzędowego poświadczania) pozbawiony nadmiarowych danych.</w:t>
            </w:r>
          </w:p>
        </w:tc>
      </w:tr>
      <w:tr w:rsidR="00BD5A37" w14:paraId="4AECCBC8" w14:textId="77777777" w:rsidTr="00A508E2">
        <w:tc>
          <w:tcPr>
            <w:tcW w:w="826" w:type="dxa"/>
          </w:tcPr>
          <w:p w14:paraId="2FF65080" w14:textId="77777777" w:rsidR="00BD5A37" w:rsidRDefault="00BD5A37" w:rsidP="00323880">
            <w:pPr>
              <w:pStyle w:val="Akapitzlist"/>
              <w:numPr>
                <w:ilvl w:val="0"/>
                <w:numId w:val="1"/>
              </w:numPr>
            </w:pPr>
          </w:p>
        </w:tc>
        <w:tc>
          <w:tcPr>
            <w:tcW w:w="2708" w:type="dxa"/>
          </w:tcPr>
          <w:p w14:paraId="177AFD25" w14:textId="02782A44" w:rsidR="00BD5A37" w:rsidRPr="00C609D9" w:rsidRDefault="00BD5A37" w:rsidP="00323880">
            <w:pPr>
              <w:rPr>
                <w:bCs/>
              </w:rPr>
            </w:pPr>
            <w:r w:rsidRPr="00BD5A37">
              <w:rPr>
                <w:bCs/>
              </w:rPr>
              <w:t>SA w Poznaniu</w:t>
            </w:r>
          </w:p>
        </w:tc>
        <w:tc>
          <w:tcPr>
            <w:tcW w:w="1696" w:type="dxa"/>
          </w:tcPr>
          <w:p w14:paraId="644E2239" w14:textId="7E4772A3" w:rsidR="00BD5A37" w:rsidRPr="00C609D9" w:rsidRDefault="00BD5A37" w:rsidP="00323880">
            <w:r w:rsidRPr="00BD5A37">
              <w:t>Uwaga ogólna</w:t>
            </w:r>
          </w:p>
        </w:tc>
        <w:tc>
          <w:tcPr>
            <w:tcW w:w="3335" w:type="dxa"/>
          </w:tcPr>
          <w:p w14:paraId="2483BDE0" w14:textId="07C74ED3" w:rsidR="00BD5A37" w:rsidRDefault="00190A11" w:rsidP="00374289">
            <w:r w:rsidRPr="00190A11">
              <w:t xml:space="preserve">Wprowadzając zmianę do art. 10 Ustawy o Krajowym Rejestrze Sądowym należałoby w rozporządzeniu wykonawczym do ustawy w sposób precyzyjny i całościowy określić jakie podmioty lub osoby fizyczne mogą występować o dostęp do elektronicznych akt rejestrowych prowadzonych w Repozytorium Akt Rejestrowych (RAR) jako użytkownik jednorazowy lub użytkownik nazwany. Brak regulacji prawnej w tym zakresie utrudnia sądom rejestrowym odmowę takiego dostępu przy równocześnie statuowanej w art. 10 ust. 1 ustawy o KRS zasadzie jawności akt rejestrowych. Należy zauważyć, że nadanie jednorazowego hasła dostępu </w:t>
            </w:r>
            <w:r w:rsidRPr="00190A11">
              <w:lastRenderedPageBreak/>
              <w:t>do RAR umożliwia przeglądanie dokumentów ze statusem jawności dokumentu jako „ograniczony”.</w:t>
            </w:r>
          </w:p>
        </w:tc>
        <w:tc>
          <w:tcPr>
            <w:tcW w:w="4046" w:type="dxa"/>
          </w:tcPr>
          <w:p w14:paraId="034F5D78" w14:textId="77777777" w:rsidR="00BD5A37" w:rsidRDefault="00BD5A37" w:rsidP="00BD5A37">
            <w:pPr>
              <w:rPr>
                <w:b/>
                <w:bCs/>
              </w:rPr>
            </w:pPr>
            <w:r w:rsidRPr="00BD5A37">
              <w:rPr>
                <w:b/>
                <w:bCs/>
              </w:rPr>
              <w:lastRenderedPageBreak/>
              <w:t>Uwaga nieuwzględniona</w:t>
            </w:r>
          </w:p>
          <w:p w14:paraId="6B028322" w14:textId="77777777" w:rsidR="00BD5A37" w:rsidRPr="00BD5A37" w:rsidRDefault="00BD5A37" w:rsidP="00BD5A37">
            <w:pPr>
              <w:rPr>
                <w:b/>
                <w:bCs/>
              </w:rPr>
            </w:pPr>
          </w:p>
          <w:p w14:paraId="6D17F3B1" w14:textId="096F136A" w:rsidR="00BD5A37" w:rsidRPr="00BD5A37" w:rsidRDefault="00BD5A37" w:rsidP="00BD5A37">
            <w:r w:rsidRPr="00BD5A37">
              <w:t xml:space="preserve">Należy wskazać, że zgodnie z art. 10 ust. 1 ustawy o KRS każdy ma prawo przeglądania akt rejestrowych podmiotów wpisanych do Rejestru oraz zbioru dokumentów, o którym mowa w art. 9 ust. 6, chyba że ustawa stanowi inaczej. Zgodnie z § 198 ust. 5 rozporządzenia MS - Regulamin urzędowania sądów powszechnych dokumenty składane do sądu rejestrowego podlegają przed ich udostępnieniem ocenie przez ten sąd w celu ochrony danych osobowych. Zatem w każdym przypadku sąd rejestrowy decyduje o tym, komu i jakie dokumenty ma udostępnić. Należy jednocześnie wskazać, że obowiązujące przepisy ustawy o KRS oraz aktów wykonawczych nie posługują się pojęciem użytkownika jednorazowego i użytkownika </w:t>
            </w:r>
            <w:r w:rsidRPr="00BD5A37">
              <w:lastRenderedPageBreak/>
              <w:t>nazwanego. Ponadto w uwadze jest wskazano, w którym akcie wykonawczym należałoby uregulować kwestię dostępu do akt użytkownika jednorazowego i użytkownika nazwanego.</w:t>
            </w:r>
          </w:p>
        </w:tc>
      </w:tr>
      <w:tr w:rsidR="00FC2A7B" w14:paraId="629F4719" w14:textId="77777777" w:rsidTr="00A508E2">
        <w:tc>
          <w:tcPr>
            <w:tcW w:w="826" w:type="dxa"/>
          </w:tcPr>
          <w:p w14:paraId="5FFD2255" w14:textId="77777777" w:rsidR="00FC2A7B" w:rsidRDefault="00FC2A7B" w:rsidP="00323880">
            <w:pPr>
              <w:pStyle w:val="Akapitzlist"/>
              <w:numPr>
                <w:ilvl w:val="0"/>
                <w:numId w:val="1"/>
              </w:numPr>
            </w:pPr>
          </w:p>
        </w:tc>
        <w:tc>
          <w:tcPr>
            <w:tcW w:w="2708" w:type="dxa"/>
          </w:tcPr>
          <w:p w14:paraId="0D1AFAE9" w14:textId="68911373" w:rsidR="00FC2A7B" w:rsidRPr="00BD5A37" w:rsidRDefault="00FC2A7B" w:rsidP="00323880">
            <w:pPr>
              <w:rPr>
                <w:bCs/>
              </w:rPr>
            </w:pPr>
            <w:r w:rsidRPr="00FC2A7B">
              <w:rPr>
                <w:bCs/>
              </w:rPr>
              <w:t>SA w Poznaniu</w:t>
            </w:r>
          </w:p>
        </w:tc>
        <w:tc>
          <w:tcPr>
            <w:tcW w:w="1696" w:type="dxa"/>
          </w:tcPr>
          <w:p w14:paraId="5F1882ED" w14:textId="1FEF5307" w:rsidR="00FC2A7B" w:rsidRPr="00BD5A37" w:rsidRDefault="00FC2A7B" w:rsidP="00323880">
            <w:r w:rsidRPr="00FC2A7B">
              <w:t>Uwaga ogólna</w:t>
            </w:r>
          </w:p>
        </w:tc>
        <w:tc>
          <w:tcPr>
            <w:tcW w:w="3335" w:type="dxa"/>
          </w:tcPr>
          <w:p w14:paraId="58C048D7" w14:textId="77777777" w:rsidR="00FC2A7B" w:rsidRDefault="00FC2A7B" w:rsidP="00FC2A7B">
            <w:r>
              <w:t>Odnośnie do projektowanej zmiany wymogu w zakresie sposobu składania wniosków o wpis do rejestru stowarzyszeń, innych organizacji społecznych lub zawodowych, fundacji oraz samodzielnych publicznych zakładów opieki zdrowotnej oraz sposobu prowadzenia akt rejestrowych podmiotów wpisanych do tego rejestru stowarzyszeń, jest irracjonalna i – wbrew pozorom system teleinformatyczny składania wniosków dla tych podmiotów spowodować może więcej problemów niż przynieść korzyści.</w:t>
            </w:r>
          </w:p>
          <w:p w14:paraId="63B735E6" w14:textId="77777777" w:rsidR="00FC2A7B" w:rsidRDefault="00FC2A7B" w:rsidP="00FC2A7B">
            <w:r>
              <w:t xml:space="preserve">Przewidywane zniesienie papierowej postaci wniosków i papierowej postaci akt rejestrowych w przypadku </w:t>
            </w:r>
            <w:r>
              <w:lastRenderedPageBreak/>
              <w:t>rejestru stowarzyszeń, przy jednoczesnym pozostawieniu możliwości składania elektronicznie tych wniosków i prowadzenia tych akt rejestrowych, przysporzyć może dodatkowej pracy zarówno samym wnioskodawcom jak i orzecznikom w wydziałach rejestrowych.</w:t>
            </w:r>
          </w:p>
          <w:p w14:paraId="069B9193" w14:textId="77777777" w:rsidR="00FC2A7B" w:rsidRDefault="00FC2A7B" w:rsidP="00FC2A7B">
            <w:r>
              <w:t>Podkreślić należy, że podmioty figurujące w rejestrze stowarzyszeń KRS znacznie rzadziej niż podmioty figurujące w rejestrze przedsiębiorców KRS (z uwagi na ograniczenia co do kosztów prowadzonej działalności) pozwolić sobie mogą na korzystanie z pomocy profesjonalnych pełnomocników procesowych.</w:t>
            </w:r>
          </w:p>
          <w:p w14:paraId="192C5FCA" w14:textId="77777777" w:rsidR="00FC2A7B" w:rsidRDefault="00FC2A7B" w:rsidP="00FC2A7B">
            <w:r>
              <w:t xml:space="preserve">Niejednokrotnie ww. podmioty bywają reprezentowane przez osoby, których zaawansowanie informatyczne – delikatnie mówiąc – nie jest na </w:t>
            </w:r>
            <w:r>
              <w:lastRenderedPageBreak/>
              <w:t>najwyższym poziomie. W konsekwencji wprowadzenie konieczności składania wniosków wyłącznie w formie elektronicznej dla podmiotów figurujących w rejestrze stowarzyszeń KRS będzie dla znacznej części tych podmiotów bardzo kłopotliwe i to nie tylko w „pierwszych dniach” obowiązywania ewentualnie nowowprowadzonych przepisów, ale „w ogóle”. Oczywistym jest bowiem, że w przypadku nieskutecznego złożenia wniosku „na nowych zasadach” podmioty figurujące w rejestrze stowarzyszeń KRS będą zmuszone taki wniosek ponawiać, niewykluczone, że kilkakrotnie.</w:t>
            </w:r>
          </w:p>
          <w:p w14:paraId="56638260" w14:textId="77777777" w:rsidR="00FC2A7B" w:rsidRDefault="00FC2A7B" w:rsidP="00FC2A7B">
            <w:r>
              <w:t>Z dużą dozą prawdopodobieństwa można założyć, że wnioski „na nowych zasadach” będą przez wnioskodawców składane metodą „prób i błędów” do skutku.</w:t>
            </w:r>
          </w:p>
          <w:p w14:paraId="428D8D58" w14:textId="77777777" w:rsidR="00FC2A7B" w:rsidRDefault="00FC2A7B" w:rsidP="00FC2A7B">
            <w:r>
              <w:lastRenderedPageBreak/>
              <w:t>Powyższe sprawi, że zarówno sami wnioskodawcy figurujący w rejestrze stowarzyszeń KRS (w zakresie wypełnienia i złożenia wniosków) jak orzecznicy w wydziałach rejestrowych (w zakresie weryfikacji złożonych wniosków) będą musieli poświęcić znacznie więcej czasu niż dotychczas.</w:t>
            </w:r>
          </w:p>
          <w:p w14:paraId="4A63A679" w14:textId="4B743518" w:rsidR="00FC2A7B" w:rsidRPr="00190A11" w:rsidRDefault="00FC2A7B" w:rsidP="00FC2A7B">
            <w:r>
              <w:t>Pozostawienie możliwości papierowej postaci wniosków i papierowej postaci akt rejestrowych w przypadku rejestru stowarzyszeń wydaje się być posunięciem „humanitarnym”, które – w odniesieniu do niemałej części podmiotów rejestrowych - nie będzie prowadzić de facto do ich „wykluczenia rejestrowego”.</w:t>
            </w:r>
          </w:p>
        </w:tc>
        <w:tc>
          <w:tcPr>
            <w:tcW w:w="4046" w:type="dxa"/>
          </w:tcPr>
          <w:p w14:paraId="6BF64AC5" w14:textId="1C4C5842" w:rsidR="00FC2A7B" w:rsidRPr="00AE61B6" w:rsidRDefault="00AE61B6" w:rsidP="00AE61B6">
            <w:pPr>
              <w:jc w:val="both"/>
            </w:pPr>
            <w:r w:rsidRPr="00AE61B6">
              <w:lastRenderedPageBreak/>
              <w:t>Uwaga nie dotyczy projektu ustawy UDER49.</w:t>
            </w:r>
          </w:p>
        </w:tc>
      </w:tr>
      <w:tr w:rsidR="00F2685D" w14:paraId="7390AAAC" w14:textId="77777777" w:rsidTr="00A508E2">
        <w:tc>
          <w:tcPr>
            <w:tcW w:w="826" w:type="dxa"/>
          </w:tcPr>
          <w:p w14:paraId="6CE36551" w14:textId="77777777" w:rsidR="00F2685D" w:rsidRDefault="00F2685D" w:rsidP="00323880">
            <w:pPr>
              <w:pStyle w:val="Akapitzlist"/>
              <w:numPr>
                <w:ilvl w:val="0"/>
                <w:numId w:val="1"/>
              </w:numPr>
            </w:pPr>
          </w:p>
        </w:tc>
        <w:tc>
          <w:tcPr>
            <w:tcW w:w="2708" w:type="dxa"/>
          </w:tcPr>
          <w:p w14:paraId="6AB2B874" w14:textId="4FC91B60" w:rsidR="00F2685D" w:rsidRPr="00FC2A7B" w:rsidRDefault="00981FDE" w:rsidP="00323880">
            <w:pPr>
              <w:rPr>
                <w:bCs/>
              </w:rPr>
            </w:pPr>
            <w:r w:rsidRPr="00981FDE">
              <w:rPr>
                <w:bCs/>
              </w:rPr>
              <w:t>PUODO</w:t>
            </w:r>
          </w:p>
        </w:tc>
        <w:tc>
          <w:tcPr>
            <w:tcW w:w="1696" w:type="dxa"/>
          </w:tcPr>
          <w:p w14:paraId="655B26DC" w14:textId="332D47D6" w:rsidR="00F2685D" w:rsidRPr="00FC2A7B" w:rsidRDefault="00981FDE" w:rsidP="00323880">
            <w:r w:rsidRPr="00981FDE">
              <w:t>Uwaga ogólna</w:t>
            </w:r>
          </w:p>
        </w:tc>
        <w:tc>
          <w:tcPr>
            <w:tcW w:w="3335" w:type="dxa"/>
          </w:tcPr>
          <w:p w14:paraId="18537D9B" w14:textId="77777777" w:rsidR="00981FDE" w:rsidRDefault="00981FDE" w:rsidP="00981FDE">
            <w:r>
              <w:t xml:space="preserve">Organ właściwy w sprawie ochrony danych osobowych nie neguje projektowanych zmian, mających m.in. na celu usprawnienie pracy sądów rejestrowych i przyspieszenie postępowań </w:t>
            </w:r>
            <w:r>
              <w:lastRenderedPageBreak/>
              <w:t xml:space="preserve">rejestrowych. Niemniej, zwrócić uwagę należy, że przyjmowane rozwiązania wymagają zapewnienia zgodności z przepisami rozporządzenia 2016/679. Przepisy ustawy powinny kompleksowo regulować sposoby przetwarzania danych w systemie teleinformatycznym, zgodnie z zasadami: zgodności z prawem, rzetelności i przejrzystości (art. 5 ust. 1 lit. a), ograniczenia celu (art. 5 ust. 1 lit. b), minimalizacji danych (art. 5 ust. 1 lit. c) i ograniczenia przechowywania (art. 5 ust. 1 lit. e), jak również rozliczalności (art. 5 ust. 2) rozporządzenia 2016/679. W podstawie prawnej przetwarzania danych muszą być wyraźnie określone konkretne cele wykonywania operacji na danych osobowych (art. 6 ust. 3 rozporządzenia 2016/679). Przetwarzanie danych osobowych przez podmioty </w:t>
            </w:r>
            <w:r>
              <w:lastRenderedPageBreak/>
              <w:t>publiczne w funkcjonujących rejestrach jest bowiem ograniczone zakresem realizowanych przez nie zadań (zob. art. 15 ust. 1 ustawy o informatyzacji). Jak wymagają przepisy Konstytucji RP, władze publiczne nie mogą pozyskiwać, gromadzić i udostępniać innych informacji o obywatelach niż niezbędne w demokratycznym państwie prawnym, zasady i tryb gromadzenia oraz udostępnienia informacji określa zaś ustawa (art. 51 ust. 1 i ust. 5 Konstytucji RP). Organy władzy publicznej działają na podstawie i w granicach prawa (art. 7 Konstytucji RP).</w:t>
            </w:r>
          </w:p>
          <w:p w14:paraId="74EEB543" w14:textId="56065FDA" w:rsidR="00F2685D" w:rsidRDefault="00981FDE" w:rsidP="00981FDE">
            <w:r>
              <w:t xml:space="preserve">Ograniczenia w zakresie korzystania z konstytucyjnych wolności i praw mogą być ustanawiane tylko w ustawie i tylko wtedy, gdy są konieczne w demokratycznym państwie dla jego bezpieczeństwa lub porządku publicznego, bądź dla ochrony środowiska, </w:t>
            </w:r>
            <w:r>
              <w:lastRenderedPageBreak/>
              <w:t>zdrowia i moralności publicznej, albo wolności i praw innych osób. Ograniczenia te nie mogą naruszać istoty wolności i praw (art. 31 ust. 3 Konstytucji RP).</w:t>
            </w:r>
          </w:p>
        </w:tc>
        <w:tc>
          <w:tcPr>
            <w:tcW w:w="4046" w:type="dxa"/>
          </w:tcPr>
          <w:p w14:paraId="6B62B867" w14:textId="77777777" w:rsidR="00256809" w:rsidRPr="00256809" w:rsidRDefault="00256809" w:rsidP="00256809">
            <w:pPr>
              <w:jc w:val="both"/>
              <w:rPr>
                <w:b/>
              </w:rPr>
            </w:pPr>
            <w:r w:rsidRPr="00256809">
              <w:rPr>
                <w:b/>
              </w:rPr>
              <w:lastRenderedPageBreak/>
              <w:t>Uwaga nieuwzględniona</w:t>
            </w:r>
          </w:p>
          <w:p w14:paraId="04ACC866" w14:textId="45493DCE" w:rsidR="00F2685D" w:rsidRPr="00AE61B6" w:rsidRDefault="00256809" w:rsidP="00256809">
            <w:pPr>
              <w:jc w:val="both"/>
            </w:pPr>
            <w:r w:rsidRPr="00256809">
              <w:rPr>
                <w:bCs/>
              </w:rPr>
              <w:t xml:space="preserve">Wnoszący nie wskazał, które z projektowanych przepisów są - jego zdaniem - niezgodne z rozporządzeniem 2016/679. Ponadto zgodnie z art.  175dc ustawy - Prawo o ustroju sądów powszechnych w </w:t>
            </w:r>
            <w:r w:rsidRPr="00256809">
              <w:rPr>
                <w:bCs/>
              </w:rPr>
              <w:lastRenderedPageBreak/>
              <w:t>związku z przetwarzaniem danych osobowych w postępowaniach sądowych wykonanie obowiązków, o których mowa w art. 13 rozporządzenia 2016/679, następuje przez umieszczenie informacji określonych w art. 13 ust. 2 rozporządzenia 2016/679 w Biuletynie Informacji Publicznej na stronie podmiotowej oraz w widocznym miejscu w budynku sądu.</w:t>
            </w:r>
          </w:p>
        </w:tc>
      </w:tr>
      <w:tr w:rsidR="00E24C3C" w14:paraId="33CB882F" w14:textId="77777777" w:rsidTr="00A508E2">
        <w:tc>
          <w:tcPr>
            <w:tcW w:w="826" w:type="dxa"/>
          </w:tcPr>
          <w:p w14:paraId="74570C95" w14:textId="77777777" w:rsidR="00E24C3C" w:rsidRDefault="00E24C3C" w:rsidP="00323880">
            <w:pPr>
              <w:pStyle w:val="Akapitzlist"/>
              <w:numPr>
                <w:ilvl w:val="0"/>
                <w:numId w:val="1"/>
              </w:numPr>
            </w:pPr>
          </w:p>
        </w:tc>
        <w:tc>
          <w:tcPr>
            <w:tcW w:w="2708" w:type="dxa"/>
          </w:tcPr>
          <w:p w14:paraId="4A8AA2B2" w14:textId="16FE732C" w:rsidR="00E24C3C" w:rsidRPr="00981FDE" w:rsidRDefault="00E24C3C" w:rsidP="00323880">
            <w:pPr>
              <w:rPr>
                <w:bCs/>
              </w:rPr>
            </w:pPr>
            <w:r w:rsidRPr="00E24C3C">
              <w:rPr>
                <w:bCs/>
              </w:rPr>
              <w:t>SA w Warszawie</w:t>
            </w:r>
          </w:p>
        </w:tc>
        <w:tc>
          <w:tcPr>
            <w:tcW w:w="1696" w:type="dxa"/>
          </w:tcPr>
          <w:p w14:paraId="43906D17" w14:textId="3A291485" w:rsidR="00E24C3C" w:rsidRPr="00981FDE" w:rsidRDefault="00E24C3C" w:rsidP="00323880">
            <w:r w:rsidRPr="00E24C3C">
              <w:t xml:space="preserve">Art. 1 pkt 2 (art. 9 ust. 1b i 6 </w:t>
            </w:r>
            <w:proofErr w:type="spellStart"/>
            <w:r w:rsidRPr="00E24C3C">
              <w:t>uKRS</w:t>
            </w:r>
            <w:proofErr w:type="spellEnd"/>
            <w:r w:rsidRPr="00E24C3C">
              <w:t>)</w:t>
            </w:r>
          </w:p>
        </w:tc>
        <w:tc>
          <w:tcPr>
            <w:tcW w:w="3335" w:type="dxa"/>
          </w:tcPr>
          <w:p w14:paraId="21D77D96" w14:textId="77777777" w:rsidR="00CA4108" w:rsidRDefault="00CA4108" w:rsidP="00CA4108">
            <w:r>
              <w:t xml:space="preserve">Obecna praktyka Sądów jest bardzo dobra. Przy pierwszym wpisie dokumenty papierowe, które wpływają do Sądu są umieszczane w zbiorze dokumentów pod nadaną sygnaturą (duża część podmiotów jest od razu rejestrowana), zakładany jest zbiór dokumentów, który jest </w:t>
            </w:r>
            <w:proofErr w:type="spellStart"/>
            <w:r>
              <w:t>tagowany</w:t>
            </w:r>
            <w:proofErr w:type="spellEnd"/>
            <w:r>
              <w:t xml:space="preserve">. Zakładanie kolejnych okładek dla pierwszych wpisów tj. zakładanie kolejnego zbioru dokumentów dla akt sprawy rozpoznawanej po raz pierwszy to generowanie kosztów dla Sądu, a przede wszystkim dla Sądu Rejonowego dla m.st. Warszawy w którym rozpoznawana jest bardzo duża ilość spraw. Kolejny </w:t>
            </w:r>
            <w:r>
              <w:lastRenderedPageBreak/>
              <w:t xml:space="preserve">zbiór dokumentów to nie tylko koszty, ale także niepotrzebna praca pracowników Sekretariatu – każdą bowiem okładkę zbioru dokumentów należy opisać. Zbiór dokumentów dla akt sprawy rozpoznawanej po raz pierwszy także należy </w:t>
            </w:r>
            <w:proofErr w:type="spellStart"/>
            <w:r>
              <w:t>zatagować</w:t>
            </w:r>
            <w:proofErr w:type="spellEnd"/>
            <w:r>
              <w:t>, aby nie zginął – kolejna praca pracowników Sekretariatu.</w:t>
            </w:r>
          </w:p>
          <w:p w14:paraId="16B5F0D0" w14:textId="62F9A38E" w:rsidR="00E24C3C" w:rsidRDefault="00CA4108" w:rsidP="00CA4108">
            <w:r>
              <w:t>Jeśli bowiem akta jakiekolwiek zginą Sąd musi je odtwarzać – praca dodatkowa referendarzy sądowych.</w:t>
            </w:r>
          </w:p>
        </w:tc>
        <w:tc>
          <w:tcPr>
            <w:tcW w:w="4046" w:type="dxa"/>
          </w:tcPr>
          <w:p w14:paraId="39871724" w14:textId="77777777" w:rsidR="008F48DE" w:rsidRPr="008F48DE" w:rsidRDefault="008F48DE" w:rsidP="008F48DE">
            <w:pPr>
              <w:jc w:val="both"/>
              <w:rPr>
                <w:b/>
              </w:rPr>
            </w:pPr>
            <w:r w:rsidRPr="008F48DE">
              <w:rPr>
                <w:b/>
              </w:rPr>
              <w:lastRenderedPageBreak/>
              <w:t>Uwaga nieuwzględniona</w:t>
            </w:r>
          </w:p>
          <w:p w14:paraId="5CE40CCA" w14:textId="0E8F8C95" w:rsidR="00E24C3C" w:rsidRPr="008F48DE" w:rsidRDefault="008F48DE" w:rsidP="008F48DE">
            <w:pPr>
              <w:jc w:val="both"/>
              <w:rPr>
                <w:bCs/>
              </w:rPr>
            </w:pPr>
            <w:r w:rsidRPr="008F48DE">
              <w:rPr>
                <w:bCs/>
              </w:rPr>
              <w:t>Zbiór dokumentów sprawy rozpoznawanej po wpisie podmiotu do Rejestru staje się zbiorem dokumentów w rozumieniu art. 9 ust. 6 ustawy o KRS. Od strony praktycznej wiązać się to powinno tylko ze zmianą nazwy okładki ze zbioru dokumentów sprawy rozpoznawanej na zbiór dokumentów.</w:t>
            </w:r>
          </w:p>
        </w:tc>
      </w:tr>
      <w:tr w:rsidR="00D04753" w:rsidRPr="00375B9C" w14:paraId="4821C620" w14:textId="77777777" w:rsidTr="00A508E2">
        <w:tc>
          <w:tcPr>
            <w:tcW w:w="826" w:type="dxa"/>
          </w:tcPr>
          <w:p w14:paraId="2E499BC3" w14:textId="77777777" w:rsidR="00D04753" w:rsidRDefault="00D04753" w:rsidP="00323880">
            <w:pPr>
              <w:pStyle w:val="Akapitzlist"/>
              <w:numPr>
                <w:ilvl w:val="0"/>
                <w:numId w:val="1"/>
              </w:numPr>
            </w:pPr>
          </w:p>
        </w:tc>
        <w:tc>
          <w:tcPr>
            <w:tcW w:w="2708" w:type="dxa"/>
          </w:tcPr>
          <w:p w14:paraId="58E9558A" w14:textId="77147585" w:rsidR="00D04753" w:rsidRPr="00E24C3C" w:rsidRDefault="00D04753" w:rsidP="00323880">
            <w:pPr>
              <w:rPr>
                <w:bCs/>
              </w:rPr>
            </w:pPr>
            <w:r w:rsidRPr="00D04753">
              <w:rPr>
                <w:bCs/>
              </w:rPr>
              <w:t>SA w Warszawie</w:t>
            </w:r>
          </w:p>
        </w:tc>
        <w:tc>
          <w:tcPr>
            <w:tcW w:w="1696" w:type="dxa"/>
          </w:tcPr>
          <w:p w14:paraId="0A8376D6" w14:textId="220E5EFE" w:rsidR="00D04753" w:rsidRPr="00D04753" w:rsidRDefault="00D04753" w:rsidP="00323880">
            <w:pPr>
              <w:rPr>
                <w:lang w:val="en-GB"/>
              </w:rPr>
            </w:pPr>
            <w:r w:rsidRPr="00D04753">
              <w:rPr>
                <w:lang w:val="en-GB"/>
              </w:rPr>
              <w:t xml:space="preserve">Art. 1 </w:t>
            </w:r>
            <w:proofErr w:type="spellStart"/>
            <w:r w:rsidRPr="00D04753">
              <w:rPr>
                <w:lang w:val="en-GB"/>
              </w:rPr>
              <w:t>pkt</w:t>
            </w:r>
            <w:proofErr w:type="spellEnd"/>
            <w:r w:rsidRPr="00D04753">
              <w:rPr>
                <w:lang w:val="en-GB"/>
              </w:rPr>
              <w:t xml:space="preserve"> 4 lit. b (art. 10 ust. 4 </w:t>
            </w:r>
            <w:proofErr w:type="spellStart"/>
            <w:r w:rsidRPr="00D04753">
              <w:rPr>
                <w:lang w:val="en-GB"/>
              </w:rPr>
              <w:t>uKRS</w:t>
            </w:r>
            <w:proofErr w:type="spellEnd"/>
            <w:r w:rsidRPr="00D04753">
              <w:rPr>
                <w:lang w:val="en-GB"/>
              </w:rPr>
              <w:t>)</w:t>
            </w:r>
          </w:p>
        </w:tc>
        <w:tc>
          <w:tcPr>
            <w:tcW w:w="3335" w:type="dxa"/>
          </w:tcPr>
          <w:p w14:paraId="7072B233" w14:textId="0A55D201" w:rsidR="00D04753" w:rsidRPr="00375B9C" w:rsidRDefault="00375B9C" w:rsidP="00CA4108">
            <w:r w:rsidRPr="00375B9C">
              <w:t xml:space="preserve">….. jeżeli dokumenty takie mają postać papierową przenosi się je do prowadzonego oddzielnie zbioru dokumentów – </w:t>
            </w:r>
            <w:r w:rsidR="00E427C6" w:rsidRPr="00375B9C">
              <w:t>KIEDY?</w:t>
            </w:r>
            <w:r w:rsidRPr="00375B9C">
              <w:t xml:space="preserve"> od razu czy po uprawomocnieniu wykreślenia</w:t>
            </w:r>
          </w:p>
        </w:tc>
        <w:tc>
          <w:tcPr>
            <w:tcW w:w="4046" w:type="dxa"/>
          </w:tcPr>
          <w:p w14:paraId="1A2E239B" w14:textId="77777777" w:rsidR="00D06908" w:rsidRPr="00D06908" w:rsidRDefault="00D06908" w:rsidP="00D06908">
            <w:pPr>
              <w:jc w:val="both"/>
              <w:rPr>
                <w:b/>
              </w:rPr>
            </w:pPr>
            <w:r w:rsidRPr="00D06908">
              <w:rPr>
                <w:b/>
              </w:rPr>
              <w:t>Uwaga nieuwzględniona</w:t>
            </w:r>
          </w:p>
          <w:p w14:paraId="7B2B5326" w14:textId="7718BBA2" w:rsidR="00D04753" w:rsidRPr="00D06908" w:rsidRDefault="00D06908" w:rsidP="00D06908">
            <w:pPr>
              <w:jc w:val="both"/>
              <w:rPr>
                <w:bCs/>
              </w:rPr>
            </w:pPr>
            <w:r w:rsidRPr="00D06908">
              <w:rPr>
                <w:bCs/>
              </w:rPr>
              <w:t xml:space="preserve">Zdaniem projektodawcy przeniesienie takich dokumentów do oddzielnego zbioru dokumentów następuje po uprawomocnieniu się postanowienia o wykreśleniu i nie jest konieczne doprecyzowywanie przepisu w tym zakresie.        </w:t>
            </w:r>
          </w:p>
        </w:tc>
      </w:tr>
      <w:tr w:rsidR="00E427C6" w:rsidRPr="00375B9C" w14:paraId="2E7671D6" w14:textId="77777777" w:rsidTr="00A508E2">
        <w:tc>
          <w:tcPr>
            <w:tcW w:w="826" w:type="dxa"/>
          </w:tcPr>
          <w:p w14:paraId="0A0CB927" w14:textId="77777777" w:rsidR="00E427C6" w:rsidRDefault="00E427C6" w:rsidP="00E427C6">
            <w:pPr>
              <w:pStyle w:val="Akapitzlist"/>
              <w:numPr>
                <w:ilvl w:val="0"/>
                <w:numId w:val="1"/>
              </w:numPr>
            </w:pPr>
          </w:p>
        </w:tc>
        <w:tc>
          <w:tcPr>
            <w:tcW w:w="2708" w:type="dxa"/>
            <w:vAlign w:val="center"/>
          </w:tcPr>
          <w:p w14:paraId="2527B050" w14:textId="19D4B37A" w:rsidR="00E427C6" w:rsidRPr="00E427C6" w:rsidRDefault="00E427C6" w:rsidP="00E427C6">
            <w:pPr>
              <w:rPr>
                <w:bCs/>
              </w:rPr>
            </w:pPr>
            <w:r w:rsidRPr="00E427C6">
              <w:rPr>
                <w:rFonts w:cs="Times New Roman"/>
                <w:bCs/>
              </w:rPr>
              <w:t>SA w Rzeszowie</w:t>
            </w:r>
          </w:p>
        </w:tc>
        <w:tc>
          <w:tcPr>
            <w:tcW w:w="1696" w:type="dxa"/>
            <w:vAlign w:val="center"/>
          </w:tcPr>
          <w:p w14:paraId="7EA3A7CE" w14:textId="0FF5FEBE" w:rsidR="00E427C6" w:rsidRPr="00E427C6" w:rsidRDefault="00E427C6" w:rsidP="00E427C6">
            <w:r w:rsidRPr="00E427C6">
              <w:rPr>
                <w:rFonts w:cs="Times New Roman"/>
                <w:bCs/>
              </w:rPr>
              <w:t>Art. 1 pkt 6 (19aa ust. 1 ustawy KRS)</w:t>
            </w:r>
          </w:p>
        </w:tc>
        <w:tc>
          <w:tcPr>
            <w:tcW w:w="3335" w:type="dxa"/>
            <w:vAlign w:val="center"/>
          </w:tcPr>
          <w:p w14:paraId="67697342" w14:textId="6B3A88CA" w:rsidR="00E427C6" w:rsidRPr="00E427C6" w:rsidRDefault="00E427C6" w:rsidP="00E427C6">
            <w:r w:rsidRPr="00E427C6">
              <w:rPr>
                <w:rFonts w:eastAsia="Open Sans Light" w:cs="Times New Roman"/>
                <w:bCs/>
              </w:rPr>
              <w:t xml:space="preserve">Rozważenia wymaga doprecyzowanie w treści przepisu, że chodzi o dane osobowe niepodlegające wpisowi do Krajowego Rejestru Sądowego albo </w:t>
            </w:r>
            <w:r w:rsidRPr="00E427C6">
              <w:rPr>
                <w:rFonts w:eastAsia="Open Sans Light" w:cs="Times New Roman"/>
                <w:bCs/>
              </w:rPr>
              <w:lastRenderedPageBreak/>
              <w:t>zgłoszeniu do sądu rejestrowego</w:t>
            </w:r>
          </w:p>
        </w:tc>
        <w:tc>
          <w:tcPr>
            <w:tcW w:w="4046" w:type="dxa"/>
          </w:tcPr>
          <w:p w14:paraId="3F9E93B3" w14:textId="77777777" w:rsidR="00E427C6" w:rsidRPr="00E427C6" w:rsidRDefault="00E427C6" w:rsidP="00E427C6">
            <w:pPr>
              <w:autoSpaceDE w:val="0"/>
              <w:autoSpaceDN w:val="0"/>
              <w:adjustRightInd w:val="0"/>
              <w:jc w:val="both"/>
              <w:rPr>
                <w:rFonts w:eastAsia="Times New Roman" w:cs="Times New Roman"/>
                <w:b/>
                <w:lang w:eastAsia="pl-PL"/>
              </w:rPr>
            </w:pPr>
            <w:r w:rsidRPr="00E427C6">
              <w:rPr>
                <w:rFonts w:eastAsia="Times New Roman" w:cs="Times New Roman"/>
                <w:b/>
                <w:lang w:eastAsia="pl-PL"/>
              </w:rPr>
              <w:lastRenderedPageBreak/>
              <w:t>Uwaga nieuwzględniona</w:t>
            </w:r>
          </w:p>
          <w:p w14:paraId="53779AB2" w14:textId="419501E2" w:rsidR="00E427C6" w:rsidRPr="00E427C6" w:rsidRDefault="00E427C6" w:rsidP="00E427C6">
            <w:pPr>
              <w:jc w:val="both"/>
              <w:rPr>
                <w:b/>
              </w:rPr>
            </w:pPr>
            <w:r w:rsidRPr="00E427C6">
              <w:rPr>
                <w:rFonts w:eastAsia="Times New Roman" w:cs="Times New Roman"/>
                <w:bCs/>
                <w:lang w:eastAsia="pl-PL"/>
              </w:rPr>
              <w:t xml:space="preserve">Zdaniem projektodawcy z projektowanego przepisu wynika, że wyciąg powinien być pozbawiony danych, które nie są ujawniane w KRS </w:t>
            </w:r>
            <w:r w:rsidRPr="00E427C6">
              <w:rPr>
                <w:rFonts w:eastAsia="Times New Roman" w:cs="Times New Roman"/>
                <w:bCs/>
                <w:lang w:eastAsia="pl-PL"/>
              </w:rPr>
              <w:lastRenderedPageBreak/>
              <w:t xml:space="preserve">lub nie podlegają złożeniu do akt rejestrowych.       </w:t>
            </w:r>
          </w:p>
        </w:tc>
      </w:tr>
      <w:tr w:rsidR="006D5027" w:rsidRPr="00375B9C" w14:paraId="786EAD6F" w14:textId="77777777" w:rsidTr="00A508E2">
        <w:tc>
          <w:tcPr>
            <w:tcW w:w="826" w:type="dxa"/>
          </w:tcPr>
          <w:p w14:paraId="4F8C9681" w14:textId="77777777" w:rsidR="006D5027" w:rsidRDefault="006D5027" w:rsidP="006D5027">
            <w:pPr>
              <w:pStyle w:val="Akapitzlist"/>
              <w:numPr>
                <w:ilvl w:val="0"/>
                <w:numId w:val="1"/>
              </w:numPr>
            </w:pPr>
          </w:p>
        </w:tc>
        <w:tc>
          <w:tcPr>
            <w:tcW w:w="2708" w:type="dxa"/>
            <w:vAlign w:val="center"/>
          </w:tcPr>
          <w:p w14:paraId="5F76AC40" w14:textId="4ABCDBA0" w:rsidR="006D5027" w:rsidRPr="006D5027" w:rsidRDefault="006D5027" w:rsidP="006D5027">
            <w:pPr>
              <w:rPr>
                <w:rFonts w:cs="Times New Roman"/>
                <w:bCs/>
              </w:rPr>
            </w:pPr>
            <w:r w:rsidRPr="006D5027">
              <w:rPr>
                <w:rFonts w:cs="Times New Roman"/>
                <w:bCs/>
              </w:rPr>
              <w:t>SA w Gdańsku</w:t>
            </w:r>
          </w:p>
        </w:tc>
        <w:tc>
          <w:tcPr>
            <w:tcW w:w="1696" w:type="dxa"/>
            <w:vAlign w:val="center"/>
          </w:tcPr>
          <w:p w14:paraId="66BB07D6" w14:textId="4A42661C" w:rsidR="006D5027" w:rsidRPr="006D5027" w:rsidRDefault="006D5027" w:rsidP="006D5027">
            <w:pPr>
              <w:rPr>
                <w:rFonts w:cs="Times New Roman"/>
                <w:bCs/>
              </w:rPr>
            </w:pPr>
            <w:r w:rsidRPr="006D5027">
              <w:rPr>
                <w:rFonts w:cs="Times New Roman"/>
                <w:bCs/>
              </w:rPr>
              <w:t>Art. 1 pkt 6 (dodanie art. 19aa ust. 2 w ustawie KRS)</w:t>
            </w:r>
          </w:p>
        </w:tc>
        <w:tc>
          <w:tcPr>
            <w:tcW w:w="3335" w:type="dxa"/>
            <w:vAlign w:val="center"/>
          </w:tcPr>
          <w:p w14:paraId="30288EDC" w14:textId="705429F8" w:rsidR="006D5027" w:rsidRPr="006D5027" w:rsidRDefault="006D5027" w:rsidP="006D5027">
            <w:pPr>
              <w:rPr>
                <w:rFonts w:eastAsia="Open Sans Light" w:cs="Times New Roman"/>
                <w:bCs/>
              </w:rPr>
            </w:pPr>
            <w:r w:rsidRPr="006D5027">
              <w:rPr>
                <w:rFonts w:eastAsia="Open Sans Light" w:cs="Times New Roman"/>
                <w:bCs/>
              </w:rPr>
              <w:t xml:space="preserve">Zakwestionowano prawidłowość regulacji przyjętej w proponowanym brzmieniu art. 19aa ust. 2 projektu wskazując na obowiązek wzywania wnioskodawcy przez sąd rejestrowy do usunięcia braku pisma procesowego tj. przez dołączenie przez wnioskodawcę wyciągu z tego pisma procesowego lub dokumentu z pominięciem danych osobowych lub innych danych, których prawo przeglądania jest ograniczone na podstawie przepisu szczególnego albo dane te nie zostały w dołączonym wyciągu pominięte. Zaakcentowano, że takie wezwanie pod rygorem zwrotu pisma w istocie skutkować może w przypadku braku wykonania obowiązku w zakreślonym terminie zwrotem w danej sprawie dokumentów stanowiących </w:t>
            </w:r>
            <w:r w:rsidRPr="006D5027">
              <w:rPr>
                <w:rFonts w:eastAsia="Open Sans Light" w:cs="Times New Roman"/>
                <w:bCs/>
              </w:rPr>
              <w:lastRenderedPageBreak/>
              <w:t>zdarzenie rejestrowe i skutkujących zmianą wpisu w rejestrze, a tym samym nakładać na sąd rejestrowy obowiązek rozpoznania złożonego wniosku przez sąd rejestrowy bez wskazanego dokumentu. Należałoby przyjąć, iż w razie niewykonania wezwania przez wnioskodawcę skutkiem będzie nie proponowany rygor zwrotu tegoż pisma, lecz przyjęcie odpowiedzialności przez samego wnioskodawcę za złożenie pisma zawierającego dane osobowe lub inne dane, których prawo przeglądania jest ograniczone na podstawie przepisu szczególnego.</w:t>
            </w:r>
          </w:p>
        </w:tc>
        <w:tc>
          <w:tcPr>
            <w:tcW w:w="4046" w:type="dxa"/>
          </w:tcPr>
          <w:p w14:paraId="67DAFB37" w14:textId="77777777" w:rsidR="006D5027" w:rsidRPr="006D5027" w:rsidRDefault="006D5027" w:rsidP="006D5027">
            <w:pPr>
              <w:autoSpaceDE w:val="0"/>
              <w:autoSpaceDN w:val="0"/>
              <w:adjustRightInd w:val="0"/>
              <w:jc w:val="both"/>
              <w:rPr>
                <w:rFonts w:eastAsia="Times New Roman" w:cs="Times New Roman"/>
                <w:b/>
                <w:lang w:eastAsia="pl-PL"/>
              </w:rPr>
            </w:pPr>
            <w:r w:rsidRPr="006D5027">
              <w:rPr>
                <w:rFonts w:eastAsia="Times New Roman" w:cs="Times New Roman"/>
                <w:b/>
                <w:lang w:eastAsia="pl-PL"/>
              </w:rPr>
              <w:lastRenderedPageBreak/>
              <w:t>Uwaga nieuwzględniona</w:t>
            </w:r>
          </w:p>
          <w:p w14:paraId="1EFD59E7" w14:textId="56E44B04" w:rsidR="006D5027" w:rsidRPr="006D5027" w:rsidRDefault="006D5027" w:rsidP="006D5027">
            <w:pPr>
              <w:autoSpaceDE w:val="0"/>
              <w:autoSpaceDN w:val="0"/>
              <w:adjustRightInd w:val="0"/>
              <w:jc w:val="both"/>
              <w:rPr>
                <w:rFonts w:eastAsia="Times New Roman" w:cs="Times New Roman"/>
                <w:b/>
                <w:lang w:eastAsia="pl-PL"/>
              </w:rPr>
            </w:pPr>
            <w:r w:rsidRPr="006D5027">
              <w:rPr>
                <w:rFonts w:eastAsia="Times New Roman" w:cs="Times New Roman"/>
                <w:bCs/>
                <w:lang w:eastAsia="pl-PL"/>
              </w:rPr>
              <w:t xml:space="preserve">Należy wskazać, że projektowany przepis nie narusza obowiązujących przepisów dotyczących zwrotu wniosku w przypadku nieusunięcia jego braków formalnych. Niezasadnym jest przyjęcie, że „w razie niewykonania wezwania przez wnioskodawcę skutkiem będzie nie proponowany rygor zwrotu tegoż pisma, lecz przyjęcie odpowiedzialności przez samego wnioskodawcę za złożenie pisma zawierającego dane osobowe lub inne dane, których prawo przeglądania jest ograniczone na podstawie przepisu szczególnego”. Zgodnie bowiem z art.  175db ustawy - Prawo o ustroju sądów powszechnych administratorami danych osobowych przetwarzanych w postępowaniach sądowych w ramach sprawowania wymiaru sprawiedliwości albo realizacji zadań z zakresu ochrony prawnej są sądy. Ponadto zgodnie z art. 198 ust. 5 Regulaminu urzędowania sadów powszechnych na sądach ciąży </w:t>
            </w:r>
            <w:r w:rsidRPr="006D5027">
              <w:rPr>
                <w:rFonts w:eastAsia="Times New Roman" w:cs="Times New Roman"/>
                <w:bCs/>
                <w:lang w:eastAsia="pl-PL"/>
              </w:rPr>
              <w:lastRenderedPageBreak/>
              <w:t xml:space="preserve">obowiązek oceny złożonych dokumentów przed ich udostępnieniem w celu ochrony danych osobowych.        </w:t>
            </w:r>
          </w:p>
        </w:tc>
      </w:tr>
      <w:tr w:rsidR="009952DA" w:rsidRPr="00375B9C" w14:paraId="1FC6467D" w14:textId="77777777" w:rsidTr="00A508E2">
        <w:tc>
          <w:tcPr>
            <w:tcW w:w="826" w:type="dxa"/>
          </w:tcPr>
          <w:p w14:paraId="1D8C3A03" w14:textId="77777777" w:rsidR="009952DA" w:rsidRDefault="009952DA" w:rsidP="009952DA">
            <w:pPr>
              <w:pStyle w:val="Akapitzlist"/>
              <w:numPr>
                <w:ilvl w:val="0"/>
                <w:numId w:val="1"/>
              </w:numPr>
            </w:pPr>
          </w:p>
        </w:tc>
        <w:tc>
          <w:tcPr>
            <w:tcW w:w="2708" w:type="dxa"/>
            <w:vAlign w:val="center"/>
          </w:tcPr>
          <w:p w14:paraId="279A44A1" w14:textId="417B56A4" w:rsidR="009952DA" w:rsidRPr="009952DA" w:rsidRDefault="009952DA" w:rsidP="009952DA">
            <w:pPr>
              <w:rPr>
                <w:rFonts w:cs="Times New Roman"/>
                <w:bCs/>
              </w:rPr>
            </w:pPr>
            <w:r w:rsidRPr="009952DA">
              <w:rPr>
                <w:rFonts w:cs="Times New Roman"/>
                <w:bCs/>
              </w:rPr>
              <w:t>UKNF</w:t>
            </w:r>
          </w:p>
        </w:tc>
        <w:tc>
          <w:tcPr>
            <w:tcW w:w="1696" w:type="dxa"/>
            <w:vAlign w:val="center"/>
          </w:tcPr>
          <w:p w14:paraId="6447AF86" w14:textId="33B7A5E0" w:rsidR="009952DA" w:rsidRPr="009952DA" w:rsidRDefault="009952DA" w:rsidP="009952DA">
            <w:pPr>
              <w:rPr>
                <w:rFonts w:cs="Times New Roman"/>
                <w:bCs/>
              </w:rPr>
            </w:pPr>
            <w:r w:rsidRPr="009952DA">
              <w:rPr>
                <w:rFonts w:cs="Times New Roman"/>
                <w:bCs/>
              </w:rPr>
              <w:t>Art. 1 pkt 6 (dodanie art. 19ab w ustawie o KRS)</w:t>
            </w:r>
          </w:p>
        </w:tc>
        <w:tc>
          <w:tcPr>
            <w:tcW w:w="3335" w:type="dxa"/>
            <w:vAlign w:val="center"/>
          </w:tcPr>
          <w:p w14:paraId="2763431D" w14:textId="77777777" w:rsidR="009952DA" w:rsidRPr="009952DA" w:rsidRDefault="009952DA" w:rsidP="009952DA">
            <w:pPr>
              <w:jc w:val="both"/>
              <w:rPr>
                <w:rFonts w:eastAsia="Open Sans Light" w:cs="Times New Roman"/>
                <w:bCs/>
              </w:rPr>
            </w:pPr>
            <w:r w:rsidRPr="009952DA">
              <w:rPr>
                <w:rFonts w:eastAsia="Open Sans Light" w:cs="Times New Roman"/>
                <w:bCs/>
              </w:rPr>
              <w:t xml:space="preserve">W ocenie UKNF należy poddać ponownej analizie art. 19ab ustawy z dnia 20 sierpnia 1997 r. o Krajowym Rejestrze Sądowym (Dz. U. z 2025 r. poz. 869), dodawany w art. 1 pkt 6 projektu, pod kątem wpływu proponowanego rozwiązania na proces zakładania spółek </w:t>
            </w:r>
            <w:r w:rsidRPr="009952DA">
              <w:rPr>
                <w:rFonts w:eastAsia="Open Sans Light" w:cs="Times New Roman"/>
                <w:bCs/>
              </w:rPr>
              <w:lastRenderedPageBreak/>
              <w:t>na terenie Polski. Powszechną praktyką jest bowiem wykorzystywanie na potrzeby rejestracji spółki w Krajowym Rejestrze Sądowym tzw. adresów biur wirtualnych, w ramach której zdarza się, że nie jest zawierana konkretna umowa, np. umowa najmu umożliwiająca korzystanie z nieruchomości. Wejście w życie przedstawionego w projekcie rozwiązania może zatem skutkować ograniczeniem działalności tzw. dostawców adresów biur wirtualnych, z których usług korzystają niektórzy przedsiębiorcy (m. in. spółki zależne działające na terenie Polski, w których udziały posiadają przedsiębiorcy zagraniczni) i w konsekwencji wzbudzać wątpliwości z perspektywy poszanowania zasady proporcjonalności.</w:t>
            </w:r>
          </w:p>
          <w:p w14:paraId="2D259C1F" w14:textId="261286FA" w:rsidR="009952DA" w:rsidRPr="009952DA" w:rsidRDefault="009952DA" w:rsidP="009952DA">
            <w:pPr>
              <w:rPr>
                <w:rFonts w:eastAsia="Open Sans Light" w:cs="Times New Roman"/>
                <w:bCs/>
              </w:rPr>
            </w:pPr>
            <w:r w:rsidRPr="009952DA">
              <w:rPr>
                <w:rFonts w:eastAsia="Open Sans Light" w:cs="Times New Roman"/>
                <w:bCs/>
              </w:rPr>
              <w:t xml:space="preserve">Mając na uwadze powyższe, zdaniem UKNF rozważenia wymaga doprecyzowanie w projekcie, czy umowa </w:t>
            </w:r>
            <w:r w:rsidRPr="009952DA">
              <w:rPr>
                <w:rFonts w:eastAsia="Open Sans Light" w:cs="Times New Roman"/>
                <w:bCs/>
              </w:rPr>
              <w:lastRenderedPageBreak/>
              <w:t>podmiotu z biurem wirtualnym będzie rozumiana jako posiadanie tytułu prawnego do korzystania z lokalu.</w:t>
            </w:r>
          </w:p>
        </w:tc>
        <w:tc>
          <w:tcPr>
            <w:tcW w:w="4046" w:type="dxa"/>
          </w:tcPr>
          <w:p w14:paraId="2FD0FDB0" w14:textId="77777777" w:rsidR="009952DA" w:rsidRPr="009952DA" w:rsidRDefault="009952DA" w:rsidP="009952DA">
            <w:pPr>
              <w:autoSpaceDE w:val="0"/>
              <w:autoSpaceDN w:val="0"/>
              <w:adjustRightInd w:val="0"/>
              <w:jc w:val="both"/>
              <w:rPr>
                <w:rFonts w:eastAsia="Times New Roman" w:cs="Times New Roman"/>
                <w:b/>
                <w:lang w:eastAsia="pl-PL"/>
              </w:rPr>
            </w:pPr>
            <w:r w:rsidRPr="009952DA">
              <w:rPr>
                <w:rFonts w:eastAsia="Times New Roman" w:cs="Times New Roman"/>
                <w:b/>
                <w:lang w:eastAsia="pl-PL"/>
              </w:rPr>
              <w:lastRenderedPageBreak/>
              <w:t>Uwaga nieuwzględniona</w:t>
            </w:r>
          </w:p>
          <w:p w14:paraId="16E30F15" w14:textId="7D0E5E8A" w:rsidR="009952DA" w:rsidRPr="009952DA" w:rsidRDefault="009952DA" w:rsidP="009952DA">
            <w:pPr>
              <w:autoSpaceDE w:val="0"/>
              <w:autoSpaceDN w:val="0"/>
              <w:adjustRightInd w:val="0"/>
              <w:jc w:val="both"/>
              <w:rPr>
                <w:rFonts w:eastAsia="Times New Roman" w:cs="Times New Roman"/>
                <w:b/>
                <w:lang w:eastAsia="pl-PL"/>
              </w:rPr>
            </w:pPr>
            <w:r w:rsidRPr="009952DA">
              <w:rPr>
                <w:rFonts w:eastAsia="Times New Roman" w:cs="Times New Roman"/>
                <w:bCs/>
                <w:lang w:eastAsia="pl-PL"/>
              </w:rPr>
              <w:t>Zdaniem projektodawcy umowa z biurem wirtualnym może być tytułem prawnym do lokalu. W wyroku NSA z dnia 5 sierpnia 2014 roku (sygn. akt II FSK 3549/13) NSA uznał, że adres wskazany przez przedsiębiorcę, będący adresem wirtualnego biura w</w:t>
            </w:r>
            <w:r>
              <w:rPr>
                <w:rFonts w:eastAsia="Times New Roman" w:cs="Times New Roman"/>
                <w:bCs/>
                <w:lang w:eastAsia="pl-PL"/>
              </w:rPr>
              <w:t xml:space="preserve"> </w:t>
            </w:r>
            <w:r w:rsidRPr="009952DA">
              <w:rPr>
                <w:rFonts w:eastAsia="Times New Roman" w:cs="Times New Roman"/>
                <w:bCs/>
                <w:lang w:eastAsia="pl-PL"/>
              </w:rPr>
              <w:t xml:space="preserve">żadnym razie nie był adresem </w:t>
            </w:r>
            <w:r w:rsidRPr="009952DA">
              <w:rPr>
                <w:rFonts w:eastAsia="Times New Roman" w:cs="Times New Roman"/>
                <w:bCs/>
                <w:lang w:eastAsia="pl-PL"/>
              </w:rPr>
              <w:lastRenderedPageBreak/>
              <w:t>fikcyjnym, ponieważ przedsiębiorca posiadał udokumentowane prawo do lokalu w postaci umowy najmu wirtualnego biura.</w:t>
            </w:r>
          </w:p>
        </w:tc>
      </w:tr>
      <w:tr w:rsidR="00001650" w:rsidRPr="00375B9C" w14:paraId="26AB5809" w14:textId="77777777" w:rsidTr="00A508E2">
        <w:tc>
          <w:tcPr>
            <w:tcW w:w="826" w:type="dxa"/>
          </w:tcPr>
          <w:p w14:paraId="637F3F44" w14:textId="77777777" w:rsidR="00001650" w:rsidRDefault="00001650" w:rsidP="00001650">
            <w:pPr>
              <w:pStyle w:val="Akapitzlist"/>
              <w:numPr>
                <w:ilvl w:val="0"/>
                <w:numId w:val="1"/>
              </w:numPr>
            </w:pPr>
          </w:p>
        </w:tc>
        <w:tc>
          <w:tcPr>
            <w:tcW w:w="2708" w:type="dxa"/>
            <w:vAlign w:val="center"/>
          </w:tcPr>
          <w:p w14:paraId="23AB03A6" w14:textId="683886D9" w:rsidR="00001650" w:rsidRPr="00001650" w:rsidRDefault="00001650" w:rsidP="00001650">
            <w:pPr>
              <w:rPr>
                <w:rFonts w:cs="Times New Roman"/>
                <w:bCs/>
              </w:rPr>
            </w:pPr>
            <w:r w:rsidRPr="00001650">
              <w:rPr>
                <w:rFonts w:cs="Times New Roman"/>
                <w:bCs/>
              </w:rPr>
              <w:t>SA w Gdańsku</w:t>
            </w:r>
          </w:p>
        </w:tc>
        <w:tc>
          <w:tcPr>
            <w:tcW w:w="1696" w:type="dxa"/>
            <w:vAlign w:val="center"/>
          </w:tcPr>
          <w:p w14:paraId="72B7B904" w14:textId="5B9A325C" w:rsidR="00001650" w:rsidRPr="00001650" w:rsidRDefault="00001650" w:rsidP="00001650">
            <w:pPr>
              <w:rPr>
                <w:rFonts w:cs="Times New Roman"/>
                <w:bCs/>
              </w:rPr>
            </w:pPr>
            <w:r w:rsidRPr="00001650">
              <w:rPr>
                <w:rFonts w:cs="Times New Roman"/>
                <w:bCs/>
              </w:rPr>
              <w:t>Art. 1 pkt 13 lit. a (art. 24 ust. 1a ustawy o KRS)</w:t>
            </w:r>
          </w:p>
        </w:tc>
        <w:tc>
          <w:tcPr>
            <w:tcW w:w="3335" w:type="dxa"/>
            <w:vAlign w:val="center"/>
          </w:tcPr>
          <w:p w14:paraId="0D41B3C2" w14:textId="458AD31B" w:rsidR="00001650" w:rsidRPr="00001650" w:rsidRDefault="00001650" w:rsidP="00001650">
            <w:pPr>
              <w:jc w:val="both"/>
              <w:rPr>
                <w:rFonts w:eastAsia="Open Sans Light" w:cs="Times New Roman"/>
                <w:bCs/>
              </w:rPr>
            </w:pPr>
            <w:r w:rsidRPr="00001650">
              <w:rPr>
                <w:rFonts w:eastAsia="Open Sans Light" w:cs="Times New Roman"/>
                <w:bCs/>
              </w:rPr>
              <w:t xml:space="preserve">Odnośnie proponowanej regulacji dotyczącej art. 24 ust. 1a wskazano, iż przyjęcie rozwiązania wprowadzającego obowiązek każdorazowego wszczynania postępowania przymuszającego w sytuacji braku organu uprawnionego do reprezentowania podmiotu wpisanego do Krajowego Rejestru Sądowego albo stwierdzonych braków w składzie organu uprawnionego do reprezentowania uniemożliwiających jego działanie, oznaczałoby logiczną niekonsekwencję w proponowanych rozwiązaniach, gdzie ogranicza się prowadzenie postępowań przymuszających jako mało skutecznych i kosztownych, kładąc jednocześnie nacisk na wszczynanie postępowań o </w:t>
            </w:r>
            <w:r w:rsidRPr="00001650">
              <w:rPr>
                <w:rFonts w:eastAsia="Open Sans Light" w:cs="Times New Roman"/>
                <w:bCs/>
              </w:rPr>
              <w:lastRenderedPageBreak/>
              <w:t xml:space="preserve">rozwiązanie podmiotu bez przeprowadzania likwidacji i o jego wykreślenie z rejestru. Zamiana dotychczasowego sformułowania użytego w art. 24 ust. 1a ustawy o KRS w „uzasadnionych przypadkach (...) sąd może wezwać obowiązanych” na sformułowanie „w razie stwierdzenia, że osoba prawna nie posiada organu uprawnionego do reprezentowania albo w składzie tego organu zachodzą braki uniemożliwiające jej działanie, sąd rejestrowy wzywa obowiązanych do powołania albo wyboru tego organu” oznaczałoby, że zamiast eliminować martwe podmioty z Rejestru, z których znaczna część nie posiada organu uprawnionego do reprezentacji lub zachodzą w tym organie w/w braki, sądy rejestrowe w istocie obligowane są do prowadzenia długotrwałych postępowań mających na celu </w:t>
            </w:r>
            <w:r w:rsidRPr="00001650">
              <w:rPr>
                <w:rFonts w:eastAsia="Open Sans Light" w:cs="Times New Roman"/>
                <w:bCs/>
              </w:rPr>
              <w:lastRenderedPageBreak/>
              <w:t>przymusowe ich „uzdrowienie” i przywrócenie do działania w obrocie gospodarczym. Dodatkowo zaakcentowano, że dla niektórych form prawnych podmiotów wpisanych do Krajowego Rejestru Sądowego istnieją szczególne regulacje ustawowe, które przewidują, że brak organu uprawnionego do reprezentacji lub braki w jego składzie stanowią np. podstawę do wystąpienia z wnioskiem o rozwiązanie podmiotu (przykładowo art. 31 ust. 1 pkt 2 Ustawy Prawo o stowarzyszeniach z dnia 7.04.1989 r.).</w:t>
            </w:r>
          </w:p>
        </w:tc>
        <w:tc>
          <w:tcPr>
            <w:tcW w:w="4046" w:type="dxa"/>
          </w:tcPr>
          <w:p w14:paraId="79D18AEC" w14:textId="77777777" w:rsidR="00001650" w:rsidRPr="00001650" w:rsidRDefault="00001650" w:rsidP="00001650">
            <w:pPr>
              <w:autoSpaceDE w:val="0"/>
              <w:autoSpaceDN w:val="0"/>
              <w:adjustRightInd w:val="0"/>
              <w:jc w:val="both"/>
              <w:rPr>
                <w:rFonts w:eastAsia="Times New Roman" w:cs="Times New Roman"/>
                <w:b/>
                <w:lang w:eastAsia="pl-PL"/>
              </w:rPr>
            </w:pPr>
            <w:r w:rsidRPr="00001650">
              <w:rPr>
                <w:rFonts w:eastAsia="Times New Roman" w:cs="Times New Roman"/>
                <w:b/>
                <w:lang w:eastAsia="pl-PL"/>
              </w:rPr>
              <w:lastRenderedPageBreak/>
              <w:t>Uwaga nieuwzględniona</w:t>
            </w:r>
          </w:p>
          <w:p w14:paraId="76CB70F3" w14:textId="77777777" w:rsidR="00001650" w:rsidRPr="00001650" w:rsidRDefault="00001650" w:rsidP="00001650">
            <w:pPr>
              <w:autoSpaceDE w:val="0"/>
              <w:autoSpaceDN w:val="0"/>
              <w:adjustRightInd w:val="0"/>
              <w:jc w:val="both"/>
              <w:rPr>
                <w:rFonts w:eastAsia="Times New Roman" w:cs="Times New Roman"/>
                <w:bCs/>
                <w:lang w:eastAsia="pl-PL"/>
              </w:rPr>
            </w:pPr>
            <w:r w:rsidRPr="00001650">
              <w:rPr>
                <w:rFonts w:eastAsia="Times New Roman" w:cs="Times New Roman"/>
                <w:bCs/>
                <w:lang w:eastAsia="pl-PL"/>
              </w:rPr>
              <w:t xml:space="preserve">Obecne brzmienie przepisu art. 24 ust. 3 dopuszcza odstąpienie od wszczęcia postępowania przymuszającego w sytuacji gdy w wyniku podjęcia czynności wyjaśniających stwierdzono, że postępowanie przymuszające nie doprowadzi wykazania okoliczności, o których mowa w ust. 1a pkt 1 albo do wykonania czynności, o których mowa w ust. 1a pkt 2. Oznacza to, że obecnie - w nieokreślonym bliżej postępowaniu z urzędu sąd rejestrowy  bada czy z danych zawartych w aktach rejestrowych wynika, że nie doprowadzi ono do złożenia wniosku o wpis do Rejestru lub dokumentów, których złożenie jest obowiązkowe - czyli de facto -  przeprowadza czynności wyjaśniające. W przypadku uznania, że postępowanie przymuszające nie doprowadzi do pożądanego skutku, znów - w tym bliżej nie </w:t>
            </w:r>
            <w:r w:rsidRPr="00001650">
              <w:rPr>
                <w:rFonts w:eastAsia="Times New Roman" w:cs="Times New Roman"/>
                <w:bCs/>
                <w:lang w:eastAsia="pl-PL"/>
              </w:rPr>
              <w:lastRenderedPageBreak/>
              <w:t>sprecyzowanym postępowaniu prowadzonym z urzędu - wydaje postanowienie o odstąpieniu od wszczęcia postępowania przymuszającego.</w:t>
            </w:r>
          </w:p>
          <w:p w14:paraId="2C99E322" w14:textId="75B905CC" w:rsidR="00001650" w:rsidRPr="00001650" w:rsidRDefault="00001650" w:rsidP="00001650">
            <w:pPr>
              <w:autoSpaceDE w:val="0"/>
              <w:autoSpaceDN w:val="0"/>
              <w:adjustRightInd w:val="0"/>
              <w:jc w:val="both"/>
              <w:rPr>
                <w:rFonts w:eastAsia="Times New Roman" w:cs="Times New Roman"/>
                <w:b/>
                <w:lang w:eastAsia="pl-PL"/>
              </w:rPr>
            </w:pPr>
            <w:r w:rsidRPr="00001650">
              <w:rPr>
                <w:rFonts w:eastAsia="Times New Roman" w:cs="Times New Roman"/>
                <w:bCs/>
                <w:lang w:eastAsia="pl-PL"/>
              </w:rPr>
              <w:t>W projektowanym przepisie wszystkie ww. czynności prowadzone są w ramach postępowania przymuszającego i możliwe jest odstąpienie od postępowania przymuszającego (a nie jego wszczęcia) w przypadkach określonych w ustawie.</w:t>
            </w:r>
            <w:r w:rsidRPr="00001650">
              <w:rPr>
                <w:rFonts w:eastAsia="Times New Roman" w:cs="Times New Roman"/>
                <w:b/>
                <w:lang w:eastAsia="pl-PL"/>
              </w:rPr>
              <w:t xml:space="preserve">  </w:t>
            </w:r>
          </w:p>
        </w:tc>
      </w:tr>
      <w:tr w:rsidR="00165029" w:rsidRPr="00375B9C" w14:paraId="68F255BB" w14:textId="77777777" w:rsidTr="00A508E2">
        <w:tc>
          <w:tcPr>
            <w:tcW w:w="826" w:type="dxa"/>
          </w:tcPr>
          <w:p w14:paraId="6743DD9F" w14:textId="77777777" w:rsidR="00165029" w:rsidRDefault="00165029" w:rsidP="00165029">
            <w:pPr>
              <w:pStyle w:val="Akapitzlist"/>
              <w:numPr>
                <w:ilvl w:val="0"/>
                <w:numId w:val="1"/>
              </w:numPr>
            </w:pPr>
          </w:p>
        </w:tc>
        <w:tc>
          <w:tcPr>
            <w:tcW w:w="2708" w:type="dxa"/>
            <w:vAlign w:val="center"/>
          </w:tcPr>
          <w:p w14:paraId="319A1459" w14:textId="79B50DA4" w:rsidR="00165029" w:rsidRPr="00165029" w:rsidRDefault="00165029" w:rsidP="00165029">
            <w:pPr>
              <w:rPr>
                <w:rFonts w:cs="Times New Roman"/>
                <w:bCs/>
              </w:rPr>
            </w:pPr>
            <w:r w:rsidRPr="00165029">
              <w:rPr>
                <w:rFonts w:cs="Times New Roman"/>
                <w:bCs/>
              </w:rPr>
              <w:t>SA w Poznaniu</w:t>
            </w:r>
          </w:p>
        </w:tc>
        <w:tc>
          <w:tcPr>
            <w:tcW w:w="1696" w:type="dxa"/>
            <w:vAlign w:val="center"/>
          </w:tcPr>
          <w:p w14:paraId="7F0B7045" w14:textId="31D95746" w:rsidR="00165029" w:rsidRPr="00165029" w:rsidRDefault="00165029" w:rsidP="00165029">
            <w:pPr>
              <w:rPr>
                <w:rFonts w:cs="Times New Roman"/>
                <w:bCs/>
              </w:rPr>
            </w:pPr>
            <w:r w:rsidRPr="00165029">
              <w:rPr>
                <w:rFonts w:cs="Times New Roman"/>
                <w:bCs/>
              </w:rPr>
              <w:t>Art. 1 pkt 13 lit. a (art. 24 ust. 1a ustawy o KRS)</w:t>
            </w:r>
          </w:p>
        </w:tc>
        <w:tc>
          <w:tcPr>
            <w:tcW w:w="3335" w:type="dxa"/>
            <w:vAlign w:val="center"/>
          </w:tcPr>
          <w:p w14:paraId="79F5D44B" w14:textId="77777777" w:rsidR="00165029" w:rsidRPr="00165029" w:rsidRDefault="00165029" w:rsidP="00165029">
            <w:pPr>
              <w:jc w:val="both"/>
              <w:rPr>
                <w:rFonts w:eastAsia="Open Sans Light" w:cs="Times New Roman"/>
                <w:bCs/>
              </w:rPr>
            </w:pPr>
            <w:r w:rsidRPr="00165029">
              <w:rPr>
                <w:rFonts w:eastAsia="Open Sans Light" w:cs="Times New Roman"/>
                <w:bCs/>
              </w:rPr>
              <w:t xml:space="preserve">Odnośnie proponowanej regulacji dotyczącej art. 24 ust. 1a wskazujemy, iż przyjęcie rozwiązania wprowadzającego obowiązek każdorazowego wszczynania postępowania przymuszającego w sytuacji braku organu uprawnionego do reprezentowania podmiotu wpisanego do Krajowego </w:t>
            </w:r>
            <w:r w:rsidRPr="00165029">
              <w:rPr>
                <w:rFonts w:eastAsia="Open Sans Light" w:cs="Times New Roman"/>
                <w:bCs/>
              </w:rPr>
              <w:lastRenderedPageBreak/>
              <w:t xml:space="preserve">Rejestru Sądowego albo stwierdzonych braków w składzie organu uprawnionego do reprezentowania uniemożliwiających jego działanie, oznaczałoby logiczną niekonsekwencję w proponowanych rozwiązaniach, gdzie ogranicza się prowadzenie postępowań przymuszających jako mało skutecznych i kosztownych, kładąc jednocześnie nacisk na wszczynanie postępowań o rozwiązanie podmiotu bez przeprowadzania likwidacji i o jego wykreślenie z rejestru. Zamiana dotychczasowego sformułowania użytego w art. 24 ust. 1a ustawy o KRS w „uzasadnionych przypadkach (…) sąd może wezwać obowiązanych” na sformułowanie „w razie stwierdzenia, że osoba prawna nie posiada organu uprawnionego do reprezentowania albo w składzie tego organu zachodzą </w:t>
            </w:r>
            <w:r w:rsidRPr="00165029">
              <w:rPr>
                <w:rFonts w:eastAsia="Open Sans Light" w:cs="Times New Roman"/>
                <w:bCs/>
              </w:rPr>
              <w:lastRenderedPageBreak/>
              <w:t>braki uniemożliwiające jej działanie, sąd rejestrowy wzywa obowiązanych do powołania albo wyboru tego organu” oznaczałoby, że zamiast eliminować martwe podmioty z Rejestru, z których znaczna część nie posiada organu uprawnionego do reprezentacji lub zachodzą w tym organie w/w braki, sądy rejestrowe w istocie obligowane są do prowadzenia długotrwałych postępowań mających na celu przymusowe ich „uzdrowienie” i przywrócenie do działania w obrocie gospodarczym.</w:t>
            </w:r>
          </w:p>
          <w:p w14:paraId="66DE4677" w14:textId="77777777" w:rsidR="00165029" w:rsidRPr="00165029" w:rsidRDefault="00165029" w:rsidP="00165029">
            <w:pPr>
              <w:jc w:val="both"/>
              <w:rPr>
                <w:rFonts w:eastAsia="Open Sans Light" w:cs="Times New Roman"/>
                <w:bCs/>
              </w:rPr>
            </w:pPr>
            <w:r w:rsidRPr="00165029">
              <w:rPr>
                <w:rFonts w:eastAsia="Open Sans Light" w:cs="Times New Roman"/>
                <w:bCs/>
              </w:rPr>
              <w:t xml:space="preserve">Dodatkowo należy wskazać, iż dla niektórych form prawnych podmiotów wpisanych do Krajowego Rejestru Sądowego istnieją szczególne regulacje ustawowe, które przewidują, iż brak organu uprawnionego do reprezentacji lub braki w jego składzie stanowią np. podstawę do wystąpienia z wnioskiem o rozwiązanie </w:t>
            </w:r>
            <w:r w:rsidRPr="00165029">
              <w:rPr>
                <w:rFonts w:eastAsia="Open Sans Light" w:cs="Times New Roman"/>
                <w:bCs/>
              </w:rPr>
              <w:lastRenderedPageBreak/>
              <w:t>podmiotu (przykładowo art. 31 ust. 1 pkt 2 Ustawy Prawo o stowarzyszeniach z dnia 7.04.1989 r.).</w:t>
            </w:r>
          </w:p>
          <w:p w14:paraId="784241EE" w14:textId="77777777" w:rsidR="00165029" w:rsidRPr="00165029" w:rsidRDefault="00165029" w:rsidP="00165029">
            <w:pPr>
              <w:jc w:val="both"/>
              <w:rPr>
                <w:rFonts w:eastAsia="Open Sans Light" w:cs="Times New Roman"/>
                <w:bCs/>
              </w:rPr>
            </w:pPr>
            <w:r w:rsidRPr="00165029">
              <w:rPr>
                <w:rFonts w:eastAsia="Open Sans Light" w:cs="Times New Roman"/>
                <w:bCs/>
              </w:rPr>
              <w:t xml:space="preserve">W dotychczasowym kształcie przepisów art. 24 ust. 1a KRSU ustawodawca chciał wyeliminować konieczność wszczynania przez sąd rejestrowy postępowania przymuszającego na podstawie art. 24 ust. 1a KRSU w przypadkach, gdy sądowi temu nie będą znane osoby, które w danym podmiocie rejestrowym są zobowiązane do wyboru lub powołania organu uprawnionego do reprezentowania podmiotu. Chodziło zatem o uniknięcie wszczynania postępowań, które zmuszałyby sąd do ustalania i poszukiwania kręgu osób uprawnionych/zobowiązanych do wyboru zarządu. Po pierwsze sąd rejestrowy nie posiada stosownych narzędzi do poczynienia takich ustaleń, po drugie efektywność takich </w:t>
            </w:r>
            <w:r w:rsidRPr="00165029">
              <w:rPr>
                <w:rFonts w:eastAsia="Open Sans Light" w:cs="Times New Roman"/>
                <w:bCs/>
              </w:rPr>
              <w:lastRenderedPageBreak/>
              <w:t>czasochłonnych działań sądu przy jednoczesnym znacznym nakładzie kosztów prawdopodobnie byłaby niewielka. Ustawodawca przyjął zatem, że postępowania przymuszające na podstawie art. 24 ust. 1a KRSU sąd rejestrowy będzie wszczynał wtedy, gdy będzie znał krąg osób obowiązanych (vide: Ł. Zamojski [w:] Krajowy Rejestr Sądowy. Komentarz, wyd. II, LEX/el. 2023, art. 24; A. Komenda, w: A. Komenda (red.), Krajowy Rejestr Sądowy i postępowanie rejestrowe, Warszawa 2021 r., s. 573–574).</w:t>
            </w:r>
          </w:p>
          <w:p w14:paraId="20E84D96" w14:textId="77777777" w:rsidR="00165029" w:rsidRPr="00165029" w:rsidRDefault="00165029" w:rsidP="00165029">
            <w:pPr>
              <w:jc w:val="both"/>
              <w:rPr>
                <w:rFonts w:eastAsia="Open Sans Light" w:cs="Times New Roman"/>
                <w:bCs/>
              </w:rPr>
            </w:pPr>
            <w:r w:rsidRPr="00165029">
              <w:rPr>
                <w:rFonts w:eastAsia="Open Sans Light" w:cs="Times New Roman"/>
                <w:bCs/>
              </w:rPr>
              <w:t xml:space="preserve">Ponadto w wielu przypadkach krąg osób uprawnionych do powołania zarządu jest bardzo liczny (np. w spółdzielniach, spółkach akcyjnych, czy choćby w spółkach z o.o.). Trudno wyobrazić sobie wzywanie każdorazowo kilkuset członków spółdzielni lub akcjonariuszy spółki akcyjnej albo spółki z o.o. do </w:t>
            </w:r>
            <w:r w:rsidRPr="00165029">
              <w:rPr>
                <w:rFonts w:eastAsia="Open Sans Light" w:cs="Times New Roman"/>
                <w:bCs/>
              </w:rPr>
              <w:lastRenderedPageBreak/>
              <w:t>powołania zarządu tych osób prawnych.</w:t>
            </w:r>
          </w:p>
          <w:p w14:paraId="74DF1461" w14:textId="0AF52C5E" w:rsidR="00165029" w:rsidRPr="00165029" w:rsidRDefault="00165029" w:rsidP="00165029">
            <w:pPr>
              <w:jc w:val="both"/>
              <w:rPr>
                <w:rFonts w:eastAsia="Open Sans Light" w:cs="Times New Roman"/>
                <w:bCs/>
              </w:rPr>
            </w:pPr>
            <w:r w:rsidRPr="00165029">
              <w:rPr>
                <w:rFonts w:eastAsia="Open Sans Light" w:cs="Times New Roman"/>
                <w:bCs/>
              </w:rPr>
              <w:t>Jednocześnie należy zaznaczyć, że nierzadko zdarza się, że w razie wszczęcia postępowania przymuszającego na podstawie art. 24 ust. 1a osoby obowiązane powołują wprawdzie nowe władze (np. zarząd), ale tuż po umorzeniu postępowania przymuszającego, członkowie zarządu ponownie składają rezygnacje. W ten sposób niweczone są efekty żmudnego, kosztownego i czasochłonnego postępowania przymuszającego.</w:t>
            </w:r>
          </w:p>
        </w:tc>
        <w:tc>
          <w:tcPr>
            <w:tcW w:w="4046" w:type="dxa"/>
          </w:tcPr>
          <w:p w14:paraId="7AB3C073" w14:textId="77777777" w:rsidR="00165029" w:rsidRPr="00165029" w:rsidRDefault="00165029" w:rsidP="00165029">
            <w:pPr>
              <w:autoSpaceDE w:val="0"/>
              <w:autoSpaceDN w:val="0"/>
              <w:adjustRightInd w:val="0"/>
              <w:jc w:val="both"/>
              <w:rPr>
                <w:rFonts w:eastAsia="Times New Roman" w:cs="Times New Roman"/>
                <w:b/>
                <w:lang w:eastAsia="pl-PL"/>
              </w:rPr>
            </w:pPr>
            <w:r w:rsidRPr="00165029">
              <w:rPr>
                <w:rFonts w:eastAsia="Times New Roman" w:cs="Times New Roman"/>
                <w:b/>
                <w:lang w:eastAsia="pl-PL"/>
              </w:rPr>
              <w:lastRenderedPageBreak/>
              <w:t>Uwaga nieuwzględniona</w:t>
            </w:r>
          </w:p>
          <w:p w14:paraId="5CEB05B8" w14:textId="2C3C9CD2" w:rsidR="00165029" w:rsidRPr="00165029" w:rsidRDefault="00165029" w:rsidP="00165029">
            <w:pPr>
              <w:autoSpaceDE w:val="0"/>
              <w:autoSpaceDN w:val="0"/>
              <w:adjustRightInd w:val="0"/>
              <w:jc w:val="both"/>
              <w:rPr>
                <w:rFonts w:eastAsia="Times New Roman" w:cs="Times New Roman"/>
                <w:bCs/>
                <w:lang w:eastAsia="pl-PL"/>
              </w:rPr>
            </w:pPr>
            <w:r w:rsidRPr="00165029">
              <w:rPr>
                <w:rFonts w:eastAsia="Times New Roman" w:cs="Times New Roman"/>
                <w:bCs/>
                <w:lang w:eastAsia="pl-PL"/>
              </w:rPr>
              <w:t xml:space="preserve">Obecne brzmienie przepisu art. 24 ust. 3 dopuszcza odstąpienie od wszczęcia postępowania przymuszającego w sytuacji gdy w wyniku podjęcia czynności wyjaśniających stwierdzono, że postępowanie przymuszające nie doprowadzi wykazania okoliczności, o których mowa w ust. 1a pkt 1 albo do wykonania czynności, o których </w:t>
            </w:r>
            <w:r w:rsidRPr="00165029">
              <w:rPr>
                <w:rFonts w:eastAsia="Times New Roman" w:cs="Times New Roman"/>
                <w:bCs/>
                <w:lang w:eastAsia="pl-PL"/>
              </w:rPr>
              <w:lastRenderedPageBreak/>
              <w:t xml:space="preserve">mowa w ust. 1a pkt 2. Oznacza to, że obecnie - w nieokreślonym bliżej postępowaniu z urzędu sąd rejestrowy  bada czy z danych zawartych w aktach rejestrowych wynika, że nie doprowadzi ono do złożenia wniosku o wpis do Rejestru lub dokumentów, których złożenie jest obowiązkowe - czyli de facto -  przeprowadza czynności wyjaśniające. W przypadku uznania, że postępowanie przymuszające nie doprowadzi do pożądanego skutku, znów - w tym bliżej </w:t>
            </w:r>
            <w:r w:rsidR="007703F6" w:rsidRPr="00165029">
              <w:rPr>
                <w:rFonts w:eastAsia="Times New Roman" w:cs="Times New Roman"/>
                <w:bCs/>
                <w:lang w:eastAsia="pl-PL"/>
              </w:rPr>
              <w:t>niesprecyzowanym</w:t>
            </w:r>
            <w:r w:rsidRPr="00165029">
              <w:rPr>
                <w:rFonts w:eastAsia="Times New Roman" w:cs="Times New Roman"/>
                <w:bCs/>
                <w:lang w:eastAsia="pl-PL"/>
              </w:rPr>
              <w:t xml:space="preserve"> postępowaniu prowadzonym z urzędu - wydaje postanowienie o odstąpieniu od wszczęcia postępowania przymuszającego.</w:t>
            </w:r>
          </w:p>
          <w:p w14:paraId="2D1DBD42" w14:textId="3F474D1E" w:rsidR="00165029" w:rsidRPr="00165029" w:rsidRDefault="00165029" w:rsidP="00165029">
            <w:pPr>
              <w:autoSpaceDE w:val="0"/>
              <w:autoSpaceDN w:val="0"/>
              <w:adjustRightInd w:val="0"/>
              <w:jc w:val="both"/>
              <w:rPr>
                <w:rFonts w:eastAsia="Times New Roman" w:cs="Times New Roman"/>
                <w:b/>
                <w:lang w:eastAsia="pl-PL"/>
              </w:rPr>
            </w:pPr>
            <w:r w:rsidRPr="00165029">
              <w:rPr>
                <w:rFonts w:eastAsia="Times New Roman" w:cs="Times New Roman"/>
                <w:bCs/>
                <w:lang w:eastAsia="pl-PL"/>
              </w:rPr>
              <w:t>W projektowanym przepisie wszystkie ww. czynności prowadzone są w ramach postępowania przymuszającego i możliwe jest odstąpienie od postępowania przymuszającego (a nie jego wszczęcia) w przypadkach określonych w ustawie.</w:t>
            </w:r>
            <w:r w:rsidRPr="00165029">
              <w:rPr>
                <w:rFonts w:eastAsia="Times New Roman" w:cs="Times New Roman"/>
                <w:b/>
                <w:lang w:eastAsia="pl-PL"/>
              </w:rPr>
              <w:t xml:space="preserve">  </w:t>
            </w:r>
          </w:p>
        </w:tc>
      </w:tr>
      <w:tr w:rsidR="00A508E2" w:rsidRPr="00375B9C" w14:paraId="7909E9F6" w14:textId="77777777" w:rsidTr="00A508E2">
        <w:tc>
          <w:tcPr>
            <w:tcW w:w="826" w:type="dxa"/>
          </w:tcPr>
          <w:p w14:paraId="6DA8C243" w14:textId="77777777" w:rsidR="00A508E2" w:rsidRDefault="00A508E2" w:rsidP="00A508E2">
            <w:pPr>
              <w:pStyle w:val="Akapitzlist"/>
              <w:numPr>
                <w:ilvl w:val="0"/>
                <w:numId w:val="1"/>
              </w:numPr>
            </w:pPr>
          </w:p>
        </w:tc>
        <w:tc>
          <w:tcPr>
            <w:tcW w:w="2708" w:type="dxa"/>
            <w:vAlign w:val="center"/>
          </w:tcPr>
          <w:p w14:paraId="7E317EFE" w14:textId="58991145" w:rsidR="00A508E2" w:rsidRPr="00A508E2" w:rsidRDefault="00A508E2" w:rsidP="00A508E2">
            <w:pPr>
              <w:rPr>
                <w:rFonts w:cs="Times New Roman"/>
                <w:bCs/>
              </w:rPr>
            </w:pPr>
            <w:r w:rsidRPr="00A508E2">
              <w:rPr>
                <w:rFonts w:cs="Times New Roman"/>
                <w:bCs/>
              </w:rPr>
              <w:t>SA w Krakowie</w:t>
            </w:r>
          </w:p>
        </w:tc>
        <w:tc>
          <w:tcPr>
            <w:tcW w:w="1696" w:type="dxa"/>
            <w:vAlign w:val="center"/>
          </w:tcPr>
          <w:p w14:paraId="4BE1E3D0" w14:textId="0338633B" w:rsidR="00A508E2" w:rsidRPr="00A508E2" w:rsidRDefault="00A508E2" w:rsidP="00A508E2">
            <w:pPr>
              <w:rPr>
                <w:rFonts w:cs="Times New Roman"/>
                <w:bCs/>
              </w:rPr>
            </w:pPr>
            <w:r w:rsidRPr="00A508E2">
              <w:rPr>
                <w:rFonts w:cs="Times New Roman"/>
                <w:bCs/>
              </w:rPr>
              <w:t>art. 1 pkt 13 lit. b (art. 24 ust. 2a ustawa o KRS)</w:t>
            </w:r>
          </w:p>
        </w:tc>
        <w:tc>
          <w:tcPr>
            <w:tcW w:w="3335" w:type="dxa"/>
            <w:vAlign w:val="center"/>
          </w:tcPr>
          <w:p w14:paraId="254375C6" w14:textId="77777777" w:rsidR="00A508E2" w:rsidRPr="00A508E2" w:rsidRDefault="00A508E2" w:rsidP="00A508E2">
            <w:pPr>
              <w:jc w:val="both"/>
              <w:rPr>
                <w:rFonts w:eastAsia="Open Sans Light" w:cs="Times New Roman"/>
                <w:bCs/>
              </w:rPr>
            </w:pPr>
            <w:r w:rsidRPr="00A508E2">
              <w:rPr>
                <w:rFonts w:eastAsia="Open Sans Light" w:cs="Times New Roman"/>
                <w:bCs/>
              </w:rPr>
              <w:t xml:space="preserve">Należy zauważyć, że zbędna jest część regulacji art. 24 ust. 2a w zakresie w jakim obliguje sąd rejestrowy do dokonania wezwania do złożenia dokumentów finansowych do repozytorium dokumentów finansowych. W mojej ocenie czynność ta jest zbędna z uwagi na fakt, iż podmiot </w:t>
            </w:r>
            <w:r w:rsidRPr="00A508E2">
              <w:rPr>
                <w:rFonts w:eastAsia="Open Sans Light" w:cs="Times New Roman"/>
                <w:bCs/>
              </w:rPr>
              <w:lastRenderedPageBreak/>
              <w:t>rejestrowy, którego dotyczy taki problem doskonale wie, że taki obowiązek nie został przez niego wykonany. Nadto o tym, że problem taki został dostrzeżony dany podmiot dowie się poprzez zamieszczenie wzmianki o tym w Rejestrze, przy uwzględnieniu, że ma on obowiązek stałego monitorowania danych znajdujących się w Rejestrze.</w:t>
            </w:r>
          </w:p>
          <w:p w14:paraId="33ED810C" w14:textId="2809EE45" w:rsidR="00A508E2" w:rsidRPr="00A508E2" w:rsidRDefault="00A508E2" w:rsidP="00A508E2">
            <w:pPr>
              <w:jc w:val="both"/>
              <w:rPr>
                <w:rFonts w:eastAsia="Open Sans Light" w:cs="Times New Roman"/>
                <w:bCs/>
              </w:rPr>
            </w:pPr>
            <w:r w:rsidRPr="00A508E2">
              <w:rPr>
                <w:rFonts w:eastAsia="Open Sans Light" w:cs="Times New Roman"/>
                <w:bCs/>
              </w:rPr>
              <w:t>Z kolei wykreślenie tego obowiązku zmniejszyłoby znacznie ilość czynności (notabene praktycznie bezskutecznych) wykonywanych przez sądy rejestrowe, co pozwoliłoby im na skoncentrowanie się na zapewnieniu sprawności postępowania rejestrowego w innych obszarach.</w:t>
            </w:r>
          </w:p>
        </w:tc>
        <w:tc>
          <w:tcPr>
            <w:tcW w:w="4046" w:type="dxa"/>
          </w:tcPr>
          <w:p w14:paraId="2006A688" w14:textId="77777777" w:rsidR="00A508E2" w:rsidRPr="00A508E2" w:rsidRDefault="00A508E2" w:rsidP="00A508E2">
            <w:pPr>
              <w:autoSpaceDE w:val="0"/>
              <w:autoSpaceDN w:val="0"/>
              <w:adjustRightInd w:val="0"/>
              <w:jc w:val="both"/>
              <w:rPr>
                <w:rFonts w:eastAsia="Times New Roman" w:cs="Times New Roman"/>
                <w:b/>
                <w:lang w:eastAsia="pl-PL"/>
              </w:rPr>
            </w:pPr>
            <w:r w:rsidRPr="00A508E2">
              <w:rPr>
                <w:rFonts w:eastAsia="Times New Roman" w:cs="Times New Roman"/>
                <w:b/>
                <w:lang w:eastAsia="pl-PL"/>
              </w:rPr>
              <w:lastRenderedPageBreak/>
              <w:t>Uwaga nieuwzględniona</w:t>
            </w:r>
          </w:p>
          <w:p w14:paraId="397C8513" w14:textId="3A2F849A" w:rsidR="00A508E2" w:rsidRPr="00A508E2" w:rsidRDefault="00A508E2" w:rsidP="00A508E2">
            <w:pPr>
              <w:autoSpaceDE w:val="0"/>
              <w:autoSpaceDN w:val="0"/>
              <w:adjustRightInd w:val="0"/>
              <w:jc w:val="both"/>
              <w:rPr>
                <w:rFonts w:eastAsia="Times New Roman" w:cs="Times New Roman"/>
                <w:b/>
                <w:lang w:eastAsia="pl-PL"/>
              </w:rPr>
            </w:pPr>
            <w:r w:rsidRPr="00A508E2">
              <w:rPr>
                <w:rFonts w:eastAsia="Times New Roman" w:cs="Times New Roman"/>
                <w:bCs/>
                <w:lang w:eastAsia="pl-PL"/>
              </w:rPr>
              <w:t>Wzmianka jest rodzajem sankcji. Sąd rejestrowy zawsze ma obowiązek wezwać podmiot do wykonania obowiązku zanim nałoży sankcję. Wezwanie zabezpiecza prawo podmiotu do obrony przed objęciem go nieuzasadnionymi sankcjami.</w:t>
            </w:r>
          </w:p>
        </w:tc>
      </w:tr>
      <w:tr w:rsidR="00FF443C" w:rsidRPr="00375B9C" w14:paraId="1EF67827" w14:textId="77777777" w:rsidTr="00A508E2">
        <w:tc>
          <w:tcPr>
            <w:tcW w:w="826" w:type="dxa"/>
          </w:tcPr>
          <w:p w14:paraId="17FF61DD" w14:textId="77777777" w:rsidR="00FF443C" w:rsidRDefault="00FF443C" w:rsidP="00FF443C">
            <w:pPr>
              <w:pStyle w:val="Akapitzlist"/>
              <w:numPr>
                <w:ilvl w:val="0"/>
                <w:numId w:val="1"/>
              </w:numPr>
            </w:pPr>
          </w:p>
        </w:tc>
        <w:tc>
          <w:tcPr>
            <w:tcW w:w="2708" w:type="dxa"/>
            <w:vAlign w:val="center"/>
          </w:tcPr>
          <w:p w14:paraId="3B5A1B33" w14:textId="1F2D7394" w:rsidR="00FF443C" w:rsidRPr="00FF443C" w:rsidRDefault="00FF443C" w:rsidP="00FF443C">
            <w:pPr>
              <w:rPr>
                <w:rFonts w:cs="Times New Roman"/>
                <w:bCs/>
              </w:rPr>
            </w:pPr>
            <w:r w:rsidRPr="00FF443C">
              <w:rPr>
                <w:rFonts w:cs="Times New Roman"/>
                <w:bCs/>
              </w:rPr>
              <w:t>SA w Warszawie</w:t>
            </w:r>
          </w:p>
        </w:tc>
        <w:tc>
          <w:tcPr>
            <w:tcW w:w="1696" w:type="dxa"/>
            <w:vAlign w:val="center"/>
          </w:tcPr>
          <w:p w14:paraId="0AD24B0C" w14:textId="2DB7A4F2" w:rsidR="00FF443C" w:rsidRPr="00FF443C" w:rsidRDefault="00FF443C" w:rsidP="00FF443C">
            <w:pPr>
              <w:rPr>
                <w:rFonts w:cs="Times New Roman"/>
                <w:bCs/>
              </w:rPr>
            </w:pPr>
            <w:r w:rsidRPr="00FF443C">
              <w:rPr>
                <w:rFonts w:cs="Times New Roman"/>
                <w:bCs/>
              </w:rPr>
              <w:t>Art. 1 pkt 13 lit. b (art. 24 ust. 2b i 2c ustawy o KRS)</w:t>
            </w:r>
          </w:p>
        </w:tc>
        <w:tc>
          <w:tcPr>
            <w:tcW w:w="3335" w:type="dxa"/>
            <w:vAlign w:val="center"/>
          </w:tcPr>
          <w:p w14:paraId="793FA9E2" w14:textId="3BC2B566" w:rsidR="00FF443C" w:rsidRPr="00FF443C" w:rsidRDefault="00FF443C" w:rsidP="00FF443C">
            <w:pPr>
              <w:jc w:val="both"/>
              <w:rPr>
                <w:rFonts w:eastAsia="Open Sans Light" w:cs="Times New Roman"/>
                <w:bCs/>
              </w:rPr>
            </w:pPr>
            <w:r w:rsidRPr="00FF443C">
              <w:rPr>
                <w:rFonts w:eastAsia="Open Sans Light" w:cs="Times New Roman"/>
                <w:bCs/>
              </w:rPr>
              <w:t xml:space="preserve">Art.24.2b sąd rejestrowy niezwłocznie zawiadamia naczelnika urzędu skarbowego właściwego ….– zawiadomienie NUS co miesiąc? raz na kwartał? ; co z </w:t>
            </w:r>
            <w:r w:rsidRPr="00FF443C">
              <w:rPr>
                <w:rFonts w:eastAsia="Open Sans Light" w:cs="Times New Roman"/>
                <w:bCs/>
              </w:rPr>
              <w:lastRenderedPageBreak/>
              <w:t>zawiadomieniem Prokuratury ?</w:t>
            </w:r>
          </w:p>
          <w:p w14:paraId="4095C4D4" w14:textId="1A65385E" w:rsidR="00FF443C" w:rsidRPr="00FF443C" w:rsidRDefault="00FF443C" w:rsidP="00FF443C">
            <w:pPr>
              <w:jc w:val="both"/>
              <w:rPr>
                <w:rFonts w:eastAsia="Open Sans Light" w:cs="Times New Roman"/>
                <w:bCs/>
              </w:rPr>
            </w:pPr>
            <w:r w:rsidRPr="00FF443C">
              <w:rPr>
                <w:rFonts w:eastAsia="Open Sans Light" w:cs="Times New Roman"/>
                <w:bCs/>
              </w:rPr>
              <w:t>Art.24.2c zdanie drugie: „ wpis wzmianki jest równoważny z wezwaniem podmiotu obowiązanego do złożenia innych dokumentów, których niezłożenie stwierdzono po jej zamieszczeniu” - nie wiadomo o co chodzi</w:t>
            </w:r>
          </w:p>
        </w:tc>
        <w:tc>
          <w:tcPr>
            <w:tcW w:w="4046" w:type="dxa"/>
          </w:tcPr>
          <w:p w14:paraId="38302BF7" w14:textId="77777777" w:rsidR="00FF443C" w:rsidRPr="00FF443C" w:rsidRDefault="00FF443C" w:rsidP="00FF443C">
            <w:pPr>
              <w:autoSpaceDE w:val="0"/>
              <w:autoSpaceDN w:val="0"/>
              <w:adjustRightInd w:val="0"/>
              <w:jc w:val="both"/>
              <w:rPr>
                <w:rFonts w:eastAsia="Times New Roman" w:cs="Times New Roman"/>
                <w:b/>
                <w:lang w:eastAsia="pl-PL"/>
              </w:rPr>
            </w:pPr>
            <w:r w:rsidRPr="00FF443C">
              <w:rPr>
                <w:rFonts w:eastAsia="Times New Roman" w:cs="Times New Roman"/>
                <w:b/>
                <w:lang w:eastAsia="pl-PL"/>
              </w:rPr>
              <w:lastRenderedPageBreak/>
              <w:t>Uwaga nieuwzględniona</w:t>
            </w:r>
          </w:p>
          <w:p w14:paraId="4CACDF11" w14:textId="2B1376F4" w:rsidR="00FF443C" w:rsidRPr="00FF443C" w:rsidRDefault="00FF443C" w:rsidP="00FF443C">
            <w:pPr>
              <w:autoSpaceDE w:val="0"/>
              <w:autoSpaceDN w:val="0"/>
              <w:adjustRightInd w:val="0"/>
              <w:jc w:val="both"/>
              <w:rPr>
                <w:rFonts w:eastAsia="Times New Roman" w:cs="Times New Roman"/>
                <w:b/>
                <w:lang w:eastAsia="pl-PL"/>
              </w:rPr>
            </w:pPr>
            <w:r w:rsidRPr="00FF443C">
              <w:rPr>
                <w:rFonts w:eastAsia="Times New Roman" w:cs="Times New Roman"/>
                <w:bCs/>
                <w:lang w:eastAsia="pl-PL"/>
              </w:rPr>
              <w:t xml:space="preserve">Odnośnie uwagi do art. 24 ust. 2b Sąd Najwyższy w wyroku z dnia 13 grudnia 2006 r. sygn. akt II CSK 293/06 wskazał, że terminu „niezwłocznie” nie należy utożsamiać z terminem </w:t>
            </w:r>
            <w:r w:rsidRPr="00FF443C">
              <w:rPr>
                <w:rFonts w:eastAsia="Times New Roman" w:cs="Times New Roman"/>
                <w:bCs/>
                <w:lang w:eastAsia="pl-PL"/>
              </w:rPr>
              <w:lastRenderedPageBreak/>
              <w:t xml:space="preserve">natychmiastowym, termin „niezwłocznie” oznacza bowiem termin realny, mający na względzie okoliczności miejsca i czasu. Termin "niezwłocznie" w zależności od okoliczności (w tym przypadku obciążenia pracą sądów rejestrowych) może oznaczać zarówno natychmiast jak i bez nieuzasadnionej zwłoki czy w możliwie najkrótszym terminie.       Odnosząc się do dalszej części uwagi dot. tego przepisu należy wskazać jak w uzasadnieniu projektu, że rozpoznawanie, wykrywanie i zwalczanie przestępstw określonych w ustawie o rachunkowości, zapobieganie tym przestępstwom oraz ściganie ich sprawców należy, zgodnie z art. 28 ust. 1 pkt 11 ustawy z dnia 16 listopada 2016 r. o Krajowej Administracji Skarbowej do zadań naczelnika urzędu skarbowego. To ten organ jest zatem co do zasady właściwy do prowadzenia dochodzenia, w przypadku podejrzenia popełnienia czynu zabronionego z art. 79 pkt 4 ustawy o rachunkowości. Zgodnie z § 2 ust. 2a rozporządzenia Ministra </w:t>
            </w:r>
            <w:r w:rsidRPr="00FF443C">
              <w:rPr>
                <w:rFonts w:eastAsia="Times New Roman" w:cs="Times New Roman"/>
                <w:bCs/>
                <w:lang w:eastAsia="pl-PL"/>
              </w:rPr>
              <w:lastRenderedPageBreak/>
              <w:t xml:space="preserve">Sprawiedliwości z dnia 22 września 2015 r. w sprawie organów uprawnionych obok Policji do prowadzenia dochodzeń oraz organów uprawnionych do wnoszenia i popierania oskarżenia przed sądem pierwszej instancji w sprawach, w których prowadzono dochodzenie, jak również zakresu spraw zleconych tym organom naczelnik urzędu celno-skarbowego – w sprawach z zakresu kontroli celno-skarbowej oraz naczelnik urzędu skarbowego – w pozostałych sprawach – mają samodzielne uprawnienia do wnoszenia i popierania oskarżenia przed sądem pierwszej instancji w sprawach o przestępstwa określone w art. 77-79 ustawy o rachunkowości.                                                                               Odnośnie uwagi do art. 24 ust. 2c zdanie drugie: „ wpis wzmianki jest równoważny z wezwaniem podmiotu obowiązanego do złożenia innych dokumentów, których niezłożenie stwierdzono po jej zamieszczeniu” - takie brzmienie przepisu oznacza, że po wpisie ww. wzmianki sąd rejestrowy nie wszczyna kolejnych postępowań przymuszających i nie wzywa do złożenia dokumentów </w:t>
            </w:r>
            <w:r w:rsidRPr="00FF443C">
              <w:rPr>
                <w:rFonts w:eastAsia="Times New Roman" w:cs="Times New Roman"/>
                <w:bCs/>
                <w:lang w:eastAsia="pl-PL"/>
              </w:rPr>
              <w:lastRenderedPageBreak/>
              <w:t>finansowych, których brak został stwierdzony po jej zamieszczeniu np.: dokumentów finansowych za kolejny rok obrotowy następujący po roku, w którym zamieszczono wzmiankę. Wzmianka bowiem zastępuje wezwanie sądu.</w:t>
            </w:r>
          </w:p>
        </w:tc>
      </w:tr>
      <w:tr w:rsidR="00796A7B" w:rsidRPr="00375B9C" w14:paraId="6A2706AF" w14:textId="77777777" w:rsidTr="00A508E2">
        <w:tc>
          <w:tcPr>
            <w:tcW w:w="826" w:type="dxa"/>
          </w:tcPr>
          <w:p w14:paraId="7C19A378" w14:textId="77777777" w:rsidR="00796A7B" w:rsidRDefault="00796A7B" w:rsidP="00796A7B">
            <w:pPr>
              <w:pStyle w:val="Akapitzlist"/>
              <w:numPr>
                <w:ilvl w:val="0"/>
                <w:numId w:val="1"/>
              </w:numPr>
            </w:pPr>
          </w:p>
        </w:tc>
        <w:tc>
          <w:tcPr>
            <w:tcW w:w="2708" w:type="dxa"/>
            <w:vAlign w:val="center"/>
          </w:tcPr>
          <w:p w14:paraId="7EA13F02" w14:textId="4903217B" w:rsidR="00796A7B" w:rsidRPr="00796A7B" w:rsidRDefault="00796A7B" w:rsidP="00796A7B">
            <w:pPr>
              <w:rPr>
                <w:rFonts w:cs="Times New Roman"/>
                <w:bCs/>
              </w:rPr>
            </w:pPr>
            <w:r w:rsidRPr="00796A7B">
              <w:rPr>
                <w:rFonts w:cs="Times New Roman"/>
                <w:bCs/>
              </w:rPr>
              <w:t>SA w Poznaniu</w:t>
            </w:r>
          </w:p>
        </w:tc>
        <w:tc>
          <w:tcPr>
            <w:tcW w:w="1696" w:type="dxa"/>
            <w:vAlign w:val="center"/>
          </w:tcPr>
          <w:p w14:paraId="0AFB18DB" w14:textId="182847A0" w:rsidR="00796A7B" w:rsidRPr="00796A7B" w:rsidRDefault="00796A7B" w:rsidP="00796A7B">
            <w:pPr>
              <w:rPr>
                <w:rFonts w:cs="Times New Roman"/>
                <w:bCs/>
              </w:rPr>
            </w:pPr>
            <w:r w:rsidRPr="00796A7B">
              <w:rPr>
                <w:rFonts w:cs="Times New Roman"/>
                <w:bCs/>
              </w:rPr>
              <w:t>art. 1 pkt 13 lit. b (art. 24 ust. 2b ustawy o KRS)</w:t>
            </w:r>
          </w:p>
        </w:tc>
        <w:tc>
          <w:tcPr>
            <w:tcW w:w="3335" w:type="dxa"/>
            <w:vAlign w:val="center"/>
          </w:tcPr>
          <w:p w14:paraId="5DF5370A" w14:textId="5C5073BB" w:rsidR="00796A7B" w:rsidRPr="00796A7B" w:rsidRDefault="00796A7B" w:rsidP="00796A7B">
            <w:pPr>
              <w:jc w:val="both"/>
              <w:rPr>
                <w:rFonts w:eastAsia="Open Sans Light" w:cs="Times New Roman"/>
                <w:bCs/>
              </w:rPr>
            </w:pPr>
            <w:r w:rsidRPr="00796A7B">
              <w:rPr>
                <w:rFonts w:eastAsia="Open Sans Light" w:cs="Times New Roman"/>
                <w:bCs/>
              </w:rPr>
              <w:t xml:space="preserve">Wydaje się zbędne zawarte w art. 24 ust. 2b ustawy szczegółowe regulowanie trybu zawiadamiania o podejrzeniu popełnienia przestępstwa z art. 79 pkt 4 ustawy o rachunkowości. Poszczególne sądy rejestrowe mogły już wypracować sprawne kanały komunikacji w tym względzie i w związku z tym nadmierne usztywnianie procedur nie przyniesie żadnych korzyści w bieżącej pracy sądu. Paradoksalnie mogłoby to dodatkowo obciążać sądy rejestrowe koniecznością np. udzielania licznych odpowiedzi na zapytania organów prowadzących dochodzenie w odniesieniu do kwestii, których nie zawiera treść </w:t>
            </w:r>
            <w:r w:rsidRPr="00796A7B">
              <w:rPr>
                <w:rFonts w:eastAsia="Open Sans Light" w:cs="Times New Roman"/>
                <w:bCs/>
              </w:rPr>
              <w:lastRenderedPageBreak/>
              <w:t>zawiadomienia, o którym mowa w art. 24 ust. 2b zdanie 1. Poza tym ustawa o KRS nie wydaje się właściwym miejscem do regulowania sposobu dokonywania zawiadomień o podejrzeniu popełnienia przestępstwa.</w:t>
            </w:r>
          </w:p>
        </w:tc>
        <w:tc>
          <w:tcPr>
            <w:tcW w:w="4046" w:type="dxa"/>
          </w:tcPr>
          <w:p w14:paraId="1574A607" w14:textId="77777777" w:rsidR="00796A7B" w:rsidRPr="00796A7B" w:rsidRDefault="00796A7B" w:rsidP="00796A7B">
            <w:pPr>
              <w:autoSpaceDE w:val="0"/>
              <w:autoSpaceDN w:val="0"/>
              <w:adjustRightInd w:val="0"/>
              <w:jc w:val="both"/>
              <w:rPr>
                <w:rFonts w:eastAsia="Times New Roman" w:cs="Times New Roman"/>
                <w:b/>
                <w:lang w:eastAsia="pl-PL"/>
              </w:rPr>
            </w:pPr>
            <w:r w:rsidRPr="00796A7B">
              <w:rPr>
                <w:rFonts w:eastAsia="Times New Roman" w:cs="Times New Roman"/>
                <w:b/>
                <w:lang w:eastAsia="pl-PL"/>
              </w:rPr>
              <w:lastRenderedPageBreak/>
              <w:t>Uwaga nieuwzględniona</w:t>
            </w:r>
          </w:p>
          <w:p w14:paraId="234D5E4A" w14:textId="37120CE5" w:rsidR="00796A7B" w:rsidRPr="00796A7B" w:rsidRDefault="00796A7B" w:rsidP="00796A7B">
            <w:pPr>
              <w:autoSpaceDE w:val="0"/>
              <w:autoSpaceDN w:val="0"/>
              <w:adjustRightInd w:val="0"/>
              <w:jc w:val="both"/>
              <w:rPr>
                <w:rFonts w:eastAsia="Times New Roman" w:cs="Times New Roman"/>
                <w:b/>
                <w:lang w:eastAsia="pl-PL"/>
              </w:rPr>
            </w:pPr>
            <w:r w:rsidRPr="00796A7B">
              <w:rPr>
                <w:rFonts w:eastAsia="Times New Roman" w:cs="Times New Roman"/>
                <w:bCs/>
                <w:lang w:eastAsia="pl-PL"/>
              </w:rPr>
              <w:t>Projektowane przepisy mają na celu ujednolicenie dotychczasowych praktyk sądów rejestrowych. Sposób powiadamiania będzie uregulowany ustawowo jednolicie dla wszystkich sądów.</w:t>
            </w:r>
          </w:p>
        </w:tc>
      </w:tr>
      <w:tr w:rsidR="00BF7111" w:rsidRPr="00375B9C" w14:paraId="36AA5B47" w14:textId="77777777" w:rsidTr="00A508E2">
        <w:tc>
          <w:tcPr>
            <w:tcW w:w="826" w:type="dxa"/>
          </w:tcPr>
          <w:p w14:paraId="2FCC8B76" w14:textId="77777777" w:rsidR="00BF7111" w:rsidRDefault="00BF7111" w:rsidP="00BF7111">
            <w:pPr>
              <w:pStyle w:val="Akapitzlist"/>
              <w:numPr>
                <w:ilvl w:val="0"/>
                <w:numId w:val="1"/>
              </w:numPr>
            </w:pPr>
          </w:p>
        </w:tc>
        <w:tc>
          <w:tcPr>
            <w:tcW w:w="2708" w:type="dxa"/>
            <w:vAlign w:val="center"/>
          </w:tcPr>
          <w:p w14:paraId="550EF5CC" w14:textId="3E547979" w:rsidR="00BF7111" w:rsidRPr="00BF7111" w:rsidRDefault="00BF7111" w:rsidP="00BF7111">
            <w:pPr>
              <w:rPr>
                <w:rFonts w:cs="Times New Roman"/>
                <w:bCs/>
              </w:rPr>
            </w:pPr>
            <w:r w:rsidRPr="00BF7111">
              <w:rPr>
                <w:rFonts w:cs="Times New Roman"/>
                <w:bCs/>
              </w:rPr>
              <w:t>SA w Poznaniu</w:t>
            </w:r>
          </w:p>
        </w:tc>
        <w:tc>
          <w:tcPr>
            <w:tcW w:w="1696" w:type="dxa"/>
            <w:vAlign w:val="center"/>
          </w:tcPr>
          <w:p w14:paraId="39F87B56" w14:textId="49C4F00C" w:rsidR="00BF7111" w:rsidRPr="00BF7111" w:rsidRDefault="00BF7111" w:rsidP="00BF7111">
            <w:pPr>
              <w:rPr>
                <w:rFonts w:cs="Times New Roman"/>
                <w:bCs/>
              </w:rPr>
            </w:pPr>
            <w:r w:rsidRPr="00BF7111">
              <w:rPr>
                <w:rFonts w:cs="Times New Roman"/>
                <w:bCs/>
              </w:rPr>
              <w:t>art. 1 pkt 15 (art. 25b ust. 1a w zw. z art. 25b ust. 2 i 5 ustawy o KRS)</w:t>
            </w:r>
          </w:p>
        </w:tc>
        <w:tc>
          <w:tcPr>
            <w:tcW w:w="3335" w:type="dxa"/>
            <w:vAlign w:val="center"/>
          </w:tcPr>
          <w:p w14:paraId="0CA05F1F" w14:textId="2339D514" w:rsidR="00BF7111" w:rsidRPr="00BF7111" w:rsidRDefault="00BF7111" w:rsidP="00BF7111">
            <w:pPr>
              <w:jc w:val="both"/>
              <w:rPr>
                <w:rFonts w:eastAsia="Open Sans Light" w:cs="Times New Roman"/>
                <w:bCs/>
              </w:rPr>
            </w:pPr>
            <w:r w:rsidRPr="00BF7111">
              <w:rPr>
                <w:rFonts w:eastAsia="Open Sans Light" w:cs="Times New Roman"/>
                <w:bCs/>
              </w:rPr>
              <w:t>Budzi wątpliwość zasadność wpisywania wzmianki do KRS o wszczęciu w/w postępowania (art. 25b ust. 1a ustawy o KRS) skoro równolegle ogłasza się o tym postępowaniu w Monitorze Sądowym i Gospodarczym (art. 25b ust. 2 i ust. 5).</w:t>
            </w:r>
          </w:p>
        </w:tc>
        <w:tc>
          <w:tcPr>
            <w:tcW w:w="4046" w:type="dxa"/>
          </w:tcPr>
          <w:p w14:paraId="7CB01623" w14:textId="77777777" w:rsidR="00BF7111" w:rsidRPr="00BF7111" w:rsidRDefault="00BF7111" w:rsidP="00BF7111">
            <w:pPr>
              <w:autoSpaceDE w:val="0"/>
              <w:autoSpaceDN w:val="0"/>
              <w:adjustRightInd w:val="0"/>
              <w:jc w:val="both"/>
              <w:rPr>
                <w:rFonts w:eastAsia="Times New Roman" w:cs="Times New Roman"/>
                <w:b/>
                <w:lang w:eastAsia="pl-PL"/>
              </w:rPr>
            </w:pPr>
            <w:r w:rsidRPr="00BF7111">
              <w:rPr>
                <w:rFonts w:eastAsia="Times New Roman" w:cs="Times New Roman"/>
                <w:b/>
                <w:lang w:eastAsia="pl-PL"/>
              </w:rPr>
              <w:t>Uwaga nieuwzględniona</w:t>
            </w:r>
          </w:p>
          <w:p w14:paraId="7F6DE9AC" w14:textId="0A4E2D8F" w:rsidR="00BF7111" w:rsidRPr="00BF7111" w:rsidRDefault="00BF7111" w:rsidP="00BF7111">
            <w:pPr>
              <w:autoSpaceDE w:val="0"/>
              <w:autoSpaceDN w:val="0"/>
              <w:adjustRightInd w:val="0"/>
              <w:jc w:val="both"/>
              <w:rPr>
                <w:rFonts w:eastAsia="Times New Roman" w:cs="Times New Roman"/>
                <w:b/>
                <w:lang w:eastAsia="pl-PL"/>
              </w:rPr>
            </w:pPr>
            <w:r w:rsidRPr="00BF7111">
              <w:rPr>
                <w:rFonts w:eastAsia="Times New Roman" w:cs="Times New Roman"/>
                <w:bCs/>
                <w:lang w:eastAsia="pl-PL"/>
              </w:rPr>
              <w:t>Wzmianka w Rejestrze ma dodatkową funkcję informacyjną w tym ostrzegawczą. Jest łatwiej dostępna dla uczestników obrotu gospodarczego, w tym wierzycieli spółki. Wystarczy bowiem pobrać odpis z KRS, żeby się o niej dowiedzieć.</w:t>
            </w:r>
          </w:p>
        </w:tc>
      </w:tr>
      <w:tr w:rsidR="00963395" w:rsidRPr="00375B9C" w14:paraId="5626D6F1" w14:textId="77777777" w:rsidTr="00A508E2">
        <w:tc>
          <w:tcPr>
            <w:tcW w:w="826" w:type="dxa"/>
          </w:tcPr>
          <w:p w14:paraId="3EA5E32E" w14:textId="77777777" w:rsidR="00963395" w:rsidRDefault="00963395" w:rsidP="00963395">
            <w:pPr>
              <w:pStyle w:val="Akapitzlist"/>
              <w:numPr>
                <w:ilvl w:val="0"/>
                <w:numId w:val="1"/>
              </w:numPr>
            </w:pPr>
          </w:p>
        </w:tc>
        <w:tc>
          <w:tcPr>
            <w:tcW w:w="2708" w:type="dxa"/>
            <w:vAlign w:val="center"/>
          </w:tcPr>
          <w:p w14:paraId="7D094090" w14:textId="4B6B161C" w:rsidR="00963395" w:rsidRPr="00963395" w:rsidRDefault="00963395" w:rsidP="00963395">
            <w:pPr>
              <w:rPr>
                <w:rFonts w:cs="Times New Roman"/>
                <w:bCs/>
              </w:rPr>
            </w:pPr>
            <w:r w:rsidRPr="00963395">
              <w:rPr>
                <w:rFonts w:cs="Times New Roman"/>
                <w:bCs/>
              </w:rPr>
              <w:t>PUODO</w:t>
            </w:r>
          </w:p>
        </w:tc>
        <w:tc>
          <w:tcPr>
            <w:tcW w:w="1696" w:type="dxa"/>
            <w:vAlign w:val="center"/>
          </w:tcPr>
          <w:p w14:paraId="66FEC0E2" w14:textId="663C1074" w:rsidR="00963395" w:rsidRPr="00963395" w:rsidRDefault="00963395" w:rsidP="00963395">
            <w:pPr>
              <w:rPr>
                <w:rFonts w:cs="Times New Roman"/>
                <w:bCs/>
              </w:rPr>
            </w:pPr>
            <w:r w:rsidRPr="00963395">
              <w:rPr>
                <w:rFonts w:cs="Times New Roman"/>
                <w:bCs/>
              </w:rPr>
              <w:t>art. 1 pkt 16 (art. 25c ust. 1 pkt 2)</w:t>
            </w:r>
          </w:p>
        </w:tc>
        <w:tc>
          <w:tcPr>
            <w:tcW w:w="3335" w:type="dxa"/>
            <w:vAlign w:val="center"/>
          </w:tcPr>
          <w:p w14:paraId="29501BA4" w14:textId="77777777" w:rsidR="00963395" w:rsidRPr="00963395" w:rsidRDefault="00963395" w:rsidP="00963395">
            <w:pPr>
              <w:jc w:val="both"/>
              <w:rPr>
                <w:rFonts w:eastAsia="Open Sans Light" w:cs="Times New Roman"/>
                <w:bCs/>
              </w:rPr>
            </w:pPr>
            <w:r w:rsidRPr="00963395">
              <w:rPr>
                <w:rFonts w:eastAsia="Open Sans Light" w:cs="Times New Roman"/>
                <w:bCs/>
              </w:rPr>
              <w:t xml:space="preserve">Budzi wątpliwości, ponieważ nie określa trybu przekazywanych informacji pomiędzy rejestrami za pośrednictwem systemu teleinformatycznego. W ocenie organu nadzorczego stosowanie automatycznej wymiany danych bez faktycznego wprowadzenia gwarancji kontroli stosowania zasad wynikających z rozporządzenia 2016/679 nie </w:t>
            </w:r>
            <w:r w:rsidRPr="00963395">
              <w:rPr>
                <w:rFonts w:eastAsia="Open Sans Light" w:cs="Times New Roman"/>
                <w:bCs/>
              </w:rPr>
              <w:lastRenderedPageBreak/>
              <w:t xml:space="preserve">zapewni rozliczalności (art. 5 ust. 2 rozporządzenia 2016/679), w tym weryfikacji przez administratora m.in. faktycznych celów, dla których dane będą pozyskiwane. Istotne jest także rozważenie przez projektodawcę </w:t>
            </w:r>
            <w:proofErr w:type="spellStart"/>
            <w:r w:rsidRPr="00963395">
              <w:rPr>
                <w:rFonts w:eastAsia="Open Sans Light" w:cs="Times New Roman"/>
                <w:bCs/>
              </w:rPr>
              <w:t>ryzyk</w:t>
            </w:r>
            <w:proofErr w:type="spellEnd"/>
            <w:r w:rsidRPr="00963395">
              <w:rPr>
                <w:rFonts w:eastAsia="Open Sans Light" w:cs="Times New Roman"/>
                <w:bCs/>
              </w:rPr>
              <w:t xml:space="preserve"> związanych z przekazywaniem danych pomiędzy rejestrami publicznymi. Zgodnie z motywem 31 rozporządzenia 2016/679 zdanie drugie w brzmieniu: „żądanie ujawnienia danych osobowych, z którym występują [takie] organy publiczne, powinno zawsze mieć formę pisemną, być uzasadnione, mieć charakter wyjątkowy, nie powinno dotyczyć całego zbioru danych ani prowadzić do połączenia zbiorów danych”. Przetwarzając dane osobowe takie organy powinny przestrzegać mających zastosowanie i wiążących je przepisów o ochronie danych, zgodnie z wyznaczonymi im </w:t>
            </w:r>
            <w:r w:rsidRPr="00963395">
              <w:rPr>
                <w:rFonts w:eastAsia="Open Sans Light" w:cs="Times New Roman"/>
                <w:bCs/>
              </w:rPr>
              <w:lastRenderedPageBreak/>
              <w:t xml:space="preserve">celami przetwarzania. W kontekście łączenia baz danych warto wskazać również na wyrok TSUE z 1 października 2015 r. w sprawie C-201/14 </w:t>
            </w:r>
            <w:proofErr w:type="spellStart"/>
            <w:r w:rsidRPr="00963395">
              <w:rPr>
                <w:rFonts w:eastAsia="Open Sans Light" w:cs="Times New Roman"/>
                <w:bCs/>
              </w:rPr>
              <w:t>Smaranda</w:t>
            </w:r>
            <w:proofErr w:type="spellEnd"/>
            <w:r w:rsidRPr="00963395">
              <w:rPr>
                <w:rFonts w:eastAsia="Open Sans Light" w:cs="Times New Roman"/>
                <w:bCs/>
              </w:rPr>
              <w:t xml:space="preserve"> Bara i in., z którego treści wynika, że odrębne organy w ramach administracji publicznej należy traktować jako odrębnych administratorów z własnymi przesłankami, co w konsekwencji oznacza, że organ, któremu przekazuje się dane osobowe jest ich odbiorcą. W tym miejscu wskazać również należy na wyrok z dnia 22 listopada 2022 r. w sprawie </w:t>
            </w:r>
            <w:proofErr w:type="spellStart"/>
            <w:r w:rsidRPr="00963395">
              <w:rPr>
                <w:rFonts w:eastAsia="Open Sans Light" w:cs="Times New Roman"/>
                <w:bCs/>
              </w:rPr>
              <w:t>Luxembourg</w:t>
            </w:r>
            <w:proofErr w:type="spellEnd"/>
            <w:r w:rsidRPr="00963395">
              <w:rPr>
                <w:rFonts w:eastAsia="Open Sans Light" w:cs="Times New Roman"/>
                <w:bCs/>
              </w:rPr>
              <w:t xml:space="preserve"> Business </w:t>
            </w:r>
            <w:proofErr w:type="spellStart"/>
            <w:r w:rsidRPr="00963395">
              <w:rPr>
                <w:rFonts w:eastAsia="Open Sans Light" w:cs="Times New Roman"/>
                <w:bCs/>
              </w:rPr>
              <w:t>Registers</w:t>
            </w:r>
            <w:proofErr w:type="spellEnd"/>
            <w:r w:rsidRPr="00963395">
              <w:rPr>
                <w:rFonts w:eastAsia="Open Sans Light" w:cs="Times New Roman"/>
                <w:bCs/>
              </w:rPr>
              <w:t xml:space="preserve"> dotyczący rejestrów beneficjentów rzeczywistych prowadzonych przez państwa członkowskie, w tym Polskę. TSUE wskazał, że: „należy zbadać, po pierwsze, czy publiczny dostęp do informacji [w tej sprawie o beneficjentach rzeczywistych] jest odpowiedni do realizacji </w:t>
            </w:r>
            <w:r w:rsidRPr="00963395">
              <w:rPr>
                <w:rFonts w:eastAsia="Open Sans Light" w:cs="Times New Roman"/>
                <w:bCs/>
              </w:rPr>
              <w:lastRenderedPageBreak/>
              <w:t xml:space="preserve">zamierzonego celu leżącego w interesie ogólnym. Po drugie, czy wynikająca z takiego dostępu ingerencja w prawa zagwarantowane w art. 7 i 8 karty [Karty praw podstawowych UE] jest ograniczona do tego, co bezwzględnie konieczne, w tym znaczeniu, że cel ten nie mógłby zostać racjonalnie osiągnięty w sposób równie skuteczny za pomocą innych środków w mniejszym stopniu naruszających te prawa podstawowe zainteresowanych osób, a po trzecie, czy ingerencja ta nie jest nieproporcjonalna w stosunku do tego celu, co oznacza między innymi wyważenie znaczenia celu i wagi tej ingerencji” (pkt 70). Bez wątpienia konieczne jest przyjmowanie rozwiązań z zachowaniem prywatności i autonomii informacyjnej jednostki. Osiągnięcia takiego balansu jest wymagane zgodnie z art. 31 ust. 3 </w:t>
            </w:r>
            <w:r w:rsidRPr="00963395">
              <w:rPr>
                <w:rFonts w:eastAsia="Open Sans Light" w:cs="Times New Roman"/>
                <w:bCs/>
              </w:rPr>
              <w:lastRenderedPageBreak/>
              <w:t xml:space="preserve">Konstytucji RP4. Natomiast projektowany art. 25c ust. 1 pkt 2 nie określając trybu przekazywanych informacji (w tym danych osobowych) nie zapewnia powyższego. </w:t>
            </w:r>
          </w:p>
          <w:p w14:paraId="014132D5" w14:textId="6718FEED" w:rsidR="00963395" w:rsidRPr="00963395" w:rsidRDefault="00963395" w:rsidP="00963395">
            <w:pPr>
              <w:jc w:val="both"/>
              <w:rPr>
                <w:rFonts w:eastAsia="Open Sans Light" w:cs="Times New Roman"/>
                <w:bCs/>
              </w:rPr>
            </w:pPr>
            <w:r w:rsidRPr="00963395">
              <w:rPr>
                <w:rFonts w:eastAsia="Open Sans Light" w:cs="Times New Roman"/>
                <w:bCs/>
              </w:rPr>
              <w:t xml:space="preserve">Podkreślenia wymaga, że organ prowadzący rejestr publiczny, w którym przetwarzane są dane osobowe powinien zapewniać bezpieczeństwo, autentyczność, rozliczalność, </w:t>
            </w:r>
            <w:r w:rsidR="00222DA3" w:rsidRPr="00963395">
              <w:rPr>
                <w:rFonts w:eastAsia="Open Sans Light" w:cs="Times New Roman"/>
                <w:bCs/>
              </w:rPr>
              <w:t>poufność, niezawodność</w:t>
            </w:r>
            <w:r w:rsidRPr="00963395">
              <w:rPr>
                <w:rFonts w:eastAsia="Open Sans Light" w:cs="Times New Roman"/>
                <w:bCs/>
              </w:rPr>
              <w:t xml:space="preserve"> oraz niezaprzeczalność przetwarzanych w nim danych. Wszystkie te elementy powinny być uwzględnione w przepisach ustawy. Konieczne jest stałe respektowanie zasad przetwarzania, w tym ochrony danych osobowych i prywatności na każdym etapie tworzenia oraz istnienia, funkcjonowania technologii obejmującej ich przetwarzanie, zwłaszcza jeśli chodzi o rejestry publiczne, </w:t>
            </w:r>
            <w:r w:rsidRPr="00963395">
              <w:rPr>
                <w:rFonts w:eastAsia="Open Sans Light" w:cs="Times New Roman"/>
                <w:bCs/>
              </w:rPr>
              <w:lastRenderedPageBreak/>
              <w:t>zawierające ogromne ilości danych.</w:t>
            </w:r>
          </w:p>
          <w:p w14:paraId="3D47B719" w14:textId="77777777" w:rsidR="00963395" w:rsidRPr="00963395" w:rsidRDefault="00963395" w:rsidP="00963395">
            <w:pPr>
              <w:jc w:val="both"/>
              <w:rPr>
                <w:rFonts w:eastAsia="Open Sans Light" w:cs="Times New Roman"/>
                <w:bCs/>
              </w:rPr>
            </w:pPr>
            <w:r w:rsidRPr="00963395">
              <w:rPr>
                <w:rFonts w:eastAsia="Open Sans Light" w:cs="Times New Roman"/>
                <w:bCs/>
              </w:rPr>
              <w:t xml:space="preserve">Aspekt ten jest niezwykle istotny także w kontekście zapewnienia bezpieczeństwa publicznego – poszanowanie praw podstawowych, w tym prawa do ochrony danych osobowych jest gwarantem zapewnienia takiego bezpieczeństwa. Konieczne jest bowiem zapewnienie integralności i poufności – bezpieczeństwa przetwarzanych na ogromną skalę danych w celu zgodności z zasadą przejrzystości (zabezpieczenie procesów przed nieautoryzowanym dostępem, zabezpieczenie serwerów z kontrolą dostępu i szyfrowaniem, kontrola nad automatyzacją procesu, bieżący nadzór, zapewnienie monitorowania i logowania operacji, zabezpieczenie skryptów, szyfrowanie plików pośrednich, nieautoryzowany dostęp do środowisk </w:t>
            </w:r>
            <w:r w:rsidRPr="00963395">
              <w:rPr>
                <w:rFonts w:eastAsia="Open Sans Light" w:cs="Times New Roman"/>
                <w:bCs/>
              </w:rPr>
              <w:lastRenderedPageBreak/>
              <w:t>przetwarzających (np. katalogi sieciowe, serwery). Zabezpieczenia zapewniające bezpieczeństwo przetwarzanych danych powinno być (w wykonaniu stosowanych przepisów rozporządzenia 2016/679 i innych dotyczących przetwarzania danych osobowych) realnie zapewnione począwszy od rozpoczęcia po zakończenie przetwarzania danych osobowych. Zakładanie kont w systemie teleinformatycznym powinno odbywać się z wykorzystaniem silnego uwierzytelniania a wszystkie operacje/działania administratora powinny być rejestrowane w systemie w celu zapewnienia rozliczalności i bezpieczeństwa.</w:t>
            </w:r>
          </w:p>
          <w:p w14:paraId="034809E3" w14:textId="77777777" w:rsidR="00963395" w:rsidRPr="00963395" w:rsidRDefault="00963395" w:rsidP="00963395">
            <w:pPr>
              <w:jc w:val="both"/>
              <w:rPr>
                <w:rFonts w:eastAsia="Open Sans Light" w:cs="Times New Roman"/>
                <w:bCs/>
              </w:rPr>
            </w:pPr>
            <w:r w:rsidRPr="00963395">
              <w:rPr>
                <w:rFonts w:eastAsia="Open Sans Light" w:cs="Times New Roman"/>
                <w:bCs/>
              </w:rPr>
              <w:t xml:space="preserve">Mając na względzie charakter proponowanych rozwiązań prawnych i projektowanych zmian związanych m.in. z deregulacją przepisów </w:t>
            </w:r>
            <w:r w:rsidRPr="00963395">
              <w:rPr>
                <w:rFonts w:eastAsia="Open Sans Light" w:cs="Times New Roman"/>
                <w:bCs/>
              </w:rPr>
              <w:lastRenderedPageBreak/>
              <w:t xml:space="preserve">dotyczących funkcjonowania Krajowego Rejestru Sądowego zwrócić uwagę należy na konieczność przeprowadzenia testu prywatności w procesie tworzenia prawa, w tym oceny skutków dla ochrony danych – art. 25 ust. 1 rozporządzenia 2016/679, tj. przy określaniu sposobów przetwarzania, jak i art. 35 (w szczególności ust. 1 i ust. 10), tj. w związku z przyjmowaniem podstawy prawnej przetwarzania. Konsekwencją takiej analizy ryzyka powinno być kompleksowe odzwierciedlenie projektowanych zmian w obowiązującym porządku prawnym z uwzględnieniem zasad przetwarzania danych osobowych wynikających z  rozporządzenia 2016/679. Z uwagi na brak przeprowadzenia oceny skutków regulacji dla praw i wolności osób fizycznych – która pozwoliłaby ustalić jaki wpływ ma przestawiona </w:t>
            </w:r>
            <w:r w:rsidRPr="00963395">
              <w:rPr>
                <w:rFonts w:eastAsia="Open Sans Light" w:cs="Times New Roman"/>
                <w:bCs/>
              </w:rPr>
              <w:lastRenderedPageBreak/>
              <w:t>regulacja na prawa osób fizycznych – nie sposób przyjąć, aby zaproponowany model przetwarzania danych, można było uznać za niezbędny i konieczny (art. 5 ust. 1 lit. c w zw. z art. 6 ust. 3 rozporządzenia 2016/679). Jednocześnie przedstawione rozwiązanie jest trudne do pogodzenia z zasadą rozliczalności (art. 5 ust. 2 rozporządzenia 2016/679), zgodnie z którą administrator jest zobowiązany do wykazania przestrzegania przepisów dotyczących przetwarzania danych osobowych.</w:t>
            </w:r>
          </w:p>
          <w:p w14:paraId="563A7F95" w14:textId="7DAFF332" w:rsidR="00963395" w:rsidRPr="00963395" w:rsidRDefault="00963395" w:rsidP="00963395">
            <w:pPr>
              <w:jc w:val="both"/>
              <w:rPr>
                <w:rFonts w:eastAsia="Open Sans Light" w:cs="Times New Roman"/>
                <w:bCs/>
              </w:rPr>
            </w:pPr>
            <w:r w:rsidRPr="00963395">
              <w:rPr>
                <w:rFonts w:eastAsia="Open Sans Light" w:cs="Times New Roman"/>
                <w:bCs/>
              </w:rPr>
              <w:t xml:space="preserve">Przeprowadzenie testu pozwoliłoby na szczegółowe rozeznanie </w:t>
            </w:r>
            <w:proofErr w:type="spellStart"/>
            <w:r w:rsidRPr="00963395">
              <w:rPr>
                <w:rFonts w:eastAsia="Open Sans Light" w:cs="Times New Roman"/>
                <w:bCs/>
              </w:rPr>
              <w:t>ryzyk</w:t>
            </w:r>
            <w:proofErr w:type="spellEnd"/>
            <w:r w:rsidRPr="00963395">
              <w:rPr>
                <w:rFonts w:eastAsia="Open Sans Light" w:cs="Times New Roman"/>
                <w:bCs/>
              </w:rPr>
              <w:t xml:space="preserve"> towarzyszących przetwarzaniu dla praw i wolności podmiotów danych oraz na wprowadzenie gwarancji te ryzyka eliminujące.</w:t>
            </w:r>
          </w:p>
        </w:tc>
        <w:tc>
          <w:tcPr>
            <w:tcW w:w="4046" w:type="dxa"/>
          </w:tcPr>
          <w:p w14:paraId="6211CC09" w14:textId="77777777" w:rsidR="00963395" w:rsidRPr="00963395" w:rsidRDefault="00963395" w:rsidP="00963395">
            <w:pPr>
              <w:autoSpaceDE w:val="0"/>
              <w:autoSpaceDN w:val="0"/>
              <w:adjustRightInd w:val="0"/>
              <w:jc w:val="both"/>
              <w:rPr>
                <w:rFonts w:eastAsia="Times New Roman" w:cs="Times New Roman"/>
                <w:b/>
                <w:lang w:eastAsia="pl-PL"/>
              </w:rPr>
            </w:pPr>
            <w:r w:rsidRPr="00963395">
              <w:rPr>
                <w:rFonts w:eastAsia="Times New Roman" w:cs="Times New Roman"/>
                <w:b/>
                <w:lang w:eastAsia="pl-PL"/>
              </w:rPr>
              <w:lastRenderedPageBreak/>
              <w:t>Uwaga nieuwzględniona</w:t>
            </w:r>
          </w:p>
          <w:p w14:paraId="1D3D5D09" w14:textId="57D5FDC3" w:rsidR="00963395" w:rsidRPr="00963395" w:rsidRDefault="00963395" w:rsidP="00963395">
            <w:pPr>
              <w:autoSpaceDE w:val="0"/>
              <w:autoSpaceDN w:val="0"/>
              <w:adjustRightInd w:val="0"/>
              <w:jc w:val="both"/>
              <w:rPr>
                <w:rFonts w:eastAsia="Times New Roman" w:cs="Times New Roman"/>
                <w:b/>
                <w:lang w:eastAsia="pl-PL"/>
              </w:rPr>
            </w:pPr>
            <w:r w:rsidRPr="00963395">
              <w:rPr>
                <w:rFonts w:eastAsia="Times New Roman" w:cs="Times New Roman"/>
                <w:bCs/>
                <w:lang w:eastAsia="pl-PL"/>
              </w:rPr>
              <w:t xml:space="preserve">Pozyskiwane informacje, mają na celu ustalenie czy podmiot wpisany do Krajowego Rejestru Sądowego posiada zbywalny majątek lub prowadzi działalność. Informacje te nie dotyczą danych osób </w:t>
            </w:r>
            <w:r w:rsidR="00C8448C" w:rsidRPr="00963395">
              <w:rPr>
                <w:rFonts w:eastAsia="Times New Roman" w:cs="Times New Roman"/>
                <w:bCs/>
                <w:lang w:eastAsia="pl-PL"/>
              </w:rPr>
              <w:t>fizycznych,</w:t>
            </w:r>
            <w:r w:rsidRPr="00963395">
              <w:rPr>
                <w:rFonts w:eastAsia="Times New Roman" w:cs="Times New Roman"/>
                <w:bCs/>
                <w:lang w:eastAsia="pl-PL"/>
              </w:rPr>
              <w:t xml:space="preserve"> lecz podmiotów wpisanych w KRS. Pozyskane informacje nie będą też przekazywane między rejestrami. Będzie wskazany sąd, który występuje z zapytaniem o te informacje, również tylko ten </w:t>
            </w:r>
            <w:r w:rsidR="00413A5C" w:rsidRPr="00963395">
              <w:rPr>
                <w:rFonts w:eastAsia="Times New Roman" w:cs="Times New Roman"/>
                <w:bCs/>
                <w:lang w:eastAsia="pl-PL"/>
              </w:rPr>
              <w:t xml:space="preserve">sąd </w:t>
            </w:r>
            <w:r w:rsidR="00413A5C" w:rsidRPr="00963395">
              <w:rPr>
                <w:rFonts w:eastAsia="Times New Roman" w:cs="Times New Roman"/>
                <w:bCs/>
                <w:lang w:eastAsia="pl-PL"/>
              </w:rPr>
              <w:lastRenderedPageBreak/>
              <w:t>otrzymuje</w:t>
            </w:r>
            <w:r w:rsidRPr="00963395">
              <w:rPr>
                <w:rFonts w:eastAsia="Times New Roman" w:cs="Times New Roman"/>
                <w:bCs/>
                <w:lang w:eastAsia="pl-PL"/>
              </w:rPr>
              <w:t xml:space="preserve"> odpowiedź na to zapytanie. Wskazany będzie także numer sprawy (sygnatura akt) w związku z którą wystąpiono o ww. informacje (co zapewni rozliczalność).</w:t>
            </w:r>
          </w:p>
        </w:tc>
      </w:tr>
      <w:tr w:rsidR="00413A5C" w:rsidRPr="00375B9C" w14:paraId="67CA0526" w14:textId="77777777" w:rsidTr="00A508E2">
        <w:tc>
          <w:tcPr>
            <w:tcW w:w="826" w:type="dxa"/>
          </w:tcPr>
          <w:p w14:paraId="1812EDA3" w14:textId="77777777" w:rsidR="00413A5C" w:rsidRDefault="00413A5C" w:rsidP="00413A5C">
            <w:pPr>
              <w:pStyle w:val="Akapitzlist"/>
              <w:numPr>
                <w:ilvl w:val="0"/>
                <w:numId w:val="1"/>
              </w:numPr>
            </w:pPr>
          </w:p>
        </w:tc>
        <w:tc>
          <w:tcPr>
            <w:tcW w:w="2708" w:type="dxa"/>
            <w:vAlign w:val="center"/>
          </w:tcPr>
          <w:p w14:paraId="29334096" w14:textId="11D63B86" w:rsidR="00413A5C" w:rsidRPr="00413A5C" w:rsidRDefault="00413A5C" w:rsidP="00413A5C">
            <w:pPr>
              <w:rPr>
                <w:rFonts w:cs="Times New Roman"/>
                <w:bCs/>
              </w:rPr>
            </w:pPr>
            <w:r w:rsidRPr="00413A5C">
              <w:rPr>
                <w:rFonts w:cs="Times New Roman"/>
                <w:bCs/>
              </w:rPr>
              <w:t>SA w Poznaniu</w:t>
            </w:r>
          </w:p>
        </w:tc>
        <w:tc>
          <w:tcPr>
            <w:tcW w:w="1696" w:type="dxa"/>
            <w:vAlign w:val="center"/>
          </w:tcPr>
          <w:p w14:paraId="2E418113" w14:textId="62B64E62" w:rsidR="00413A5C" w:rsidRPr="00413A5C" w:rsidRDefault="00413A5C" w:rsidP="00413A5C">
            <w:pPr>
              <w:rPr>
                <w:rFonts w:cs="Times New Roman"/>
                <w:bCs/>
              </w:rPr>
            </w:pPr>
            <w:r w:rsidRPr="00413A5C">
              <w:rPr>
                <w:rFonts w:cs="Times New Roman"/>
                <w:bCs/>
              </w:rPr>
              <w:t xml:space="preserve">art. 1 pkt 18 lit. a (art. 25d </w:t>
            </w:r>
            <w:r w:rsidRPr="00413A5C">
              <w:rPr>
                <w:rFonts w:cs="Times New Roman"/>
                <w:bCs/>
              </w:rPr>
              <w:lastRenderedPageBreak/>
              <w:t>ust. 1 ustawy o KRS)</w:t>
            </w:r>
          </w:p>
        </w:tc>
        <w:tc>
          <w:tcPr>
            <w:tcW w:w="3335" w:type="dxa"/>
            <w:vAlign w:val="center"/>
          </w:tcPr>
          <w:p w14:paraId="220193CA" w14:textId="06E9E31E" w:rsidR="00413A5C" w:rsidRPr="00413A5C" w:rsidRDefault="00413A5C" w:rsidP="00413A5C">
            <w:pPr>
              <w:jc w:val="both"/>
              <w:rPr>
                <w:rFonts w:eastAsia="Open Sans Light" w:cs="Times New Roman"/>
                <w:bCs/>
              </w:rPr>
            </w:pPr>
            <w:r w:rsidRPr="00413A5C">
              <w:rPr>
                <w:rFonts w:eastAsia="Open Sans Light" w:cs="Times New Roman"/>
                <w:bCs/>
              </w:rPr>
              <w:lastRenderedPageBreak/>
              <w:t xml:space="preserve">W aktualnym stanie prawnym nie wydaje się optymalnym rozwiązaniem wprowadzana </w:t>
            </w:r>
            <w:r w:rsidRPr="00413A5C">
              <w:rPr>
                <w:rFonts w:eastAsia="Open Sans Light" w:cs="Times New Roman"/>
                <w:bCs/>
              </w:rPr>
              <w:lastRenderedPageBreak/>
              <w:t xml:space="preserve">do art. 25d ust. 1 zdanie 2 zasada, że w postanowieniu o rozwiązaniu podmiotu orzeka się również o jego wykreśleniu. Wynika to z faktu, iż rozstrzygnięcie o rozwiązaniu i wykreśleniu będą musiały być zawarte w odrębnych punktach orzeczenia, a zatem sama decyzja o rozwiązaniu – jako nie mieszcząca się w kategorii orzeczenia wpisowego – nie będzie objęta wydłużoną skutecznością prawną w przypadku wniesienia skargi na orzeczenie referendarza sądowego (por. art. 518(1) § 3(1) k.p.c.). Jeżeli zatem skarga taka wpłynie, orzeczenie o rozwiązaniu straci moc na podstawie art. 398(22) § 3 k.p.c., a upadek tego fragmentu rozstrzygnięcia bez wątpienia spowoduje konieczność uchylenia orzeczenia w przedmiocie wykreślenia, i to niezależnie od wartości merytorycznej wniesionej skargi. W związku z </w:t>
            </w:r>
            <w:r w:rsidRPr="00413A5C">
              <w:rPr>
                <w:rFonts w:eastAsia="Open Sans Light" w:cs="Times New Roman"/>
                <w:bCs/>
              </w:rPr>
              <w:lastRenderedPageBreak/>
              <w:t>powyższym bezpieczniejszym rozwiązaniem jest oczekiwanie na uprawomocnienie się decyzji o rozwiązaniu i dopiero w dalszej kolejności wykreślenie podmiotu. Natomiast zawarta w projekcie propozycja byłaby zasadna, gdyby połączyć ją z nowelizacją art. 518(1) § 3(1) k.p.c. rozszerzającą katalog orzeczeń, które nie traciłyby mocy na skutek wniesienia skargi.</w:t>
            </w:r>
          </w:p>
        </w:tc>
        <w:tc>
          <w:tcPr>
            <w:tcW w:w="4046" w:type="dxa"/>
          </w:tcPr>
          <w:p w14:paraId="55BA9D62" w14:textId="77777777" w:rsidR="00413A5C" w:rsidRPr="00413A5C" w:rsidRDefault="00413A5C" w:rsidP="00413A5C">
            <w:pPr>
              <w:autoSpaceDE w:val="0"/>
              <w:autoSpaceDN w:val="0"/>
              <w:adjustRightInd w:val="0"/>
              <w:jc w:val="both"/>
              <w:rPr>
                <w:rFonts w:eastAsia="Times New Roman" w:cs="Times New Roman"/>
                <w:b/>
                <w:lang w:eastAsia="pl-PL"/>
              </w:rPr>
            </w:pPr>
            <w:r w:rsidRPr="00413A5C">
              <w:rPr>
                <w:rFonts w:eastAsia="Times New Roman" w:cs="Times New Roman"/>
                <w:b/>
                <w:lang w:eastAsia="pl-PL"/>
              </w:rPr>
              <w:lastRenderedPageBreak/>
              <w:t>Uwaga nieuwzględniona</w:t>
            </w:r>
          </w:p>
          <w:p w14:paraId="7334AE3C" w14:textId="20F81E9F" w:rsidR="00413A5C" w:rsidRPr="00413A5C" w:rsidRDefault="00413A5C" w:rsidP="00413A5C">
            <w:pPr>
              <w:autoSpaceDE w:val="0"/>
              <w:autoSpaceDN w:val="0"/>
              <w:adjustRightInd w:val="0"/>
              <w:jc w:val="both"/>
              <w:rPr>
                <w:rFonts w:eastAsia="Times New Roman" w:cs="Times New Roman"/>
                <w:bCs/>
                <w:lang w:eastAsia="pl-PL"/>
              </w:rPr>
            </w:pPr>
            <w:r w:rsidRPr="00413A5C">
              <w:rPr>
                <w:rFonts w:eastAsia="Times New Roman" w:cs="Times New Roman"/>
                <w:bCs/>
                <w:lang w:eastAsia="pl-PL"/>
              </w:rPr>
              <w:t xml:space="preserve">Zasadą na gruncie przepisów prawa polskiego jest zrównanie w czasie </w:t>
            </w:r>
            <w:r w:rsidRPr="00413A5C">
              <w:rPr>
                <w:rFonts w:eastAsia="Times New Roman" w:cs="Times New Roman"/>
                <w:bCs/>
                <w:lang w:eastAsia="pl-PL"/>
              </w:rPr>
              <w:lastRenderedPageBreak/>
              <w:t>momentu wykreślenia podmiotu z rejestru z momentem jego rozwiązania (por. np. art. 84 § 2, art. 85 § 1, art. 272, art. 289 § 1, art. 477 § 1, czy art. 478 Kodeks spółek handlowych). Rozwiązanie podmiotu jest zatem konsekwencją zaistnienia przewidzianych przez ustawodawcę zdarzeń prawnych, których zwieńczeniem jest uprawomocnienie się postanowienia o wykreśleniu podmiotu z Rejestru. Nie ma podstaw do uznania, aby w przypadku postępowań prowadzonych w trybie art. 25a i nast. ustawy o KRS było inaczej. Spośród innych trybów zakończenia działalności przez podmioty rejestrowe postępowanie te wyróżnia jedynie specyficzny charakter prowadzonych przez sąd rejestrowy czynności. Procedurę likwidacyjną zastępuje tutaj badanie, czy podmiot ten posiada zbywalny majątek i czy faktycznie prowadzi działalność (por. art. 25a ust. 2 ustawy o KRS).</w:t>
            </w:r>
          </w:p>
          <w:p w14:paraId="470D3ABE" w14:textId="77777777" w:rsidR="00413A5C" w:rsidRPr="00413A5C" w:rsidRDefault="00413A5C" w:rsidP="00413A5C">
            <w:pPr>
              <w:autoSpaceDE w:val="0"/>
              <w:autoSpaceDN w:val="0"/>
              <w:adjustRightInd w:val="0"/>
              <w:jc w:val="both"/>
              <w:rPr>
                <w:rFonts w:eastAsia="Times New Roman" w:cs="Times New Roman"/>
                <w:bCs/>
                <w:lang w:eastAsia="pl-PL"/>
              </w:rPr>
            </w:pPr>
            <w:r w:rsidRPr="00413A5C">
              <w:rPr>
                <w:rFonts w:eastAsia="Times New Roman" w:cs="Times New Roman"/>
                <w:bCs/>
                <w:lang w:eastAsia="pl-PL"/>
              </w:rPr>
              <w:t xml:space="preserve">Projektowany przepis nie stanowi przeszkody do zredagowania sentencji postanowienia w dwóch osobnych punktach. W tym zakresie </w:t>
            </w:r>
            <w:r w:rsidRPr="00413A5C">
              <w:rPr>
                <w:rFonts w:eastAsia="Times New Roman" w:cs="Times New Roman"/>
                <w:bCs/>
                <w:lang w:eastAsia="pl-PL"/>
              </w:rPr>
              <w:lastRenderedPageBreak/>
              <w:t>orzecznik podejmuje decyzję samodzielnie. W związku z powyższym uwaga SA w Poznaniu, że sentencja postanowienia musi być zredagowana w dwóch oddzielnych punktach, jest chybiona.</w:t>
            </w:r>
          </w:p>
          <w:p w14:paraId="318F76B6" w14:textId="61936A1B" w:rsidR="00413A5C" w:rsidRPr="00413A5C" w:rsidRDefault="00413A5C" w:rsidP="00413A5C">
            <w:pPr>
              <w:autoSpaceDE w:val="0"/>
              <w:autoSpaceDN w:val="0"/>
              <w:adjustRightInd w:val="0"/>
              <w:jc w:val="both"/>
              <w:rPr>
                <w:rFonts w:eastAsia="Times New Roman" w:cs="Times New Roman"/>
                <w:b/>
                <w:lang w:eastAsia="pl-PL"/>
              </w:rPr>
            </w:pPr>
            <w:r w:rsidRPr="00413A5C">
              <w:rPr>
                <w:rFonts w:eastAsia="Times New Roman" w:cs="Times New Roman"/>
                <w:bCs/>
                <w:lang w:eastAsia="pl-PL"/>
              </w:rPr>
              <w:t xml:space="preserve">Problem, o którym pisze SA w Poznaniu sprowadza się de facto do kolizji między art. 518(1) § 3 (1) </w:t>
            </w:r>
            <w:proofErr w:type="spellStart"/>
            <w:r w:rsidRPr="00413A5C">
              <w:rPr>
                <w:rFonts w:eastAsia="Times New Roman" w:cs="Times New Roman"/>
                <w:bCs/>
                <w:lang w:eastAsia="pl-PL"/>
              </w:rPr>
              <w:t>kpc</w:t>
            </w:r>
            <w:proofErr w:type="spellEnd"/>
            <w:r w:rsidRPr="00413A5C">
              <w:rPr>
                <w:rFonts w:eastAsia="Times New Roman" w:cs="Times New Roman"/>
                <w:bCs/>
                <w:lang w:eastAsia="pl-PL"/>
              </w:rPr>
              <w:t xml:space="preserve"> oraz art. 398 (22) </w:t>
            </w:r>
            <w:proofErr w:type="spellStart"/>
            <w:r w:rsidRPr="00413A5C">
              <w:rPr>
                <w:rFonts w:eastAsia="Times New Roman" w:cs="Times New Roman"/>
                <w:bCs/>
                <w:lang w:eastAsia="pl-PL"/>
              </w:rPr>
              <w:t>kpc</w:t>
            </w:r>
            <w:proofErr w:type="spellEnd"/>
            <w:r w:rsidRPr="00413A5C">
              <w:rPr>
                <w:rFonts w:eastAsia="Times New Roman" w:cs="Times New Roman"/>
                <w:bCs/>
                <w:lang w:eastAsia="pl-PL"/>
              </w:rPr>
              <w:t xml:space="preserve">. W istocie bowiem złożenie skargi w trybie tego pierwszego artykułu na orzeczenie wpisowe (zarządzające wpis) skutkuje koniecznością zbadania przez sąd rozpoznający skargę również prawidłowości orzeczenia </w:t>
            </w:r>
            <w:proofErr w:type="spellStart"/>
            <w:r w:rsidRPr="00413A5C">
              <w:rPr>
                <w:rFonts w:eastAsia="Times New Roman" w:cs="Times New Roman"/>
                <w:bCs/>
                <w:lang w:eastAsia="pl-PL"/>
              </w:rPr>
              <w:t>niewpisowego</w:t>
            </w:r>
            <w:proofErr w:type="spellEnd"/>
            <w:r w:rsidRPr="00413A5C">
              <w:rPr>
                <w:rFonts w:eastAsia="Times New Roman" w:cs="Times New Roman"/>
                <w:bCs/>
                <w:lang w:eastAsia="pl-PL"/>
              </w:rPr>
              <w:t xml:space="preserve"> czyli orzekającego rozwiązanie podmiotu. Rozstrzygnięcie tej kolizji wymagałoby wyłączenia możliwości złożenia osobnej skargi z art. 398 (22) </w:t>
            </w:r>
            <w:proofErr w:type="spellStart"/>
            <w:r w:rsidRPr="00413A5C">
              <w:rPr>
                <w:rFonts w:eastAsia="Times New Roman" w:cs="Times New Roman"/>
                <w:bCs/>
                <w:lang w:eastAsia="pl-PL"/>
              </w:rPr>
              <w:t>kpc</w:t>
            </w:r>
            <w:proofErr w:type="spellEnd"/>
            <w:r w:rsidRPr="00413A5C">
              <w:rPr>
                <w:rFonts w:eastAsia="Times New Roman" w:cs="Times New Roman"/>
                <w:bCs/>
                <w:lang w:eastAsia="pl-PL"/>
              </w:rPr>
              <w:t xml:space="preserve"> gdy skarżone jest orzeczenie wpisowe z art. 518(1) § 3 (1) </w:t>
            </w:r>
            <w:proofErr w:type="spellStart"/>
            <w:r w:rsidRPr="00413A5C">
              <w:rPr>
                <w:rFonts w:eastAsia="Times New Roman" w:cs="Times New Roman"/>
                <w:bCs/>
                <w:lang w:eastAsia="pl-PL"/>
              </w:rPr>
              <w:t>kpc</w:t>
            </w:r>
            <w:proofErr w:type="spellEnd"/>
            <w:r w:rsidRPr="00413A5C">
              <w:rPr>
                <w:rFonts w:eastAsia="Times New Roman" w:cs="Times New Roman"/>
                <w:bCs/>
                <w:lang w:eastAsia="pl-PL"/>
              </w:rPr>
              <w:t xml:space="preserve"> jednakże zmiana </w:t>
            </w:r>
            <w:proofErr w:type="spellStart"/>
            <w:r w:rsidRPr="00413A5C">
              <w:rPr>
                <w:rFonts w:eastAsia="Times New Roman" w:cs="Times New Roman"/>
                <w:bCs/>
                <w:lang w:eastAsia="pl-PL"/>
              </w:rPr>
              <w:t>kpc</w:t>
            </w:r>
            <w:proofErr w:type="spellEnd"/>
            <w:r w:rsidRPr="00413A5C">
              <w:rPr>
                <w:rFonts w:eastAsia="Times New Roman" w:cs="Times New Roman"/>
                <w:bCs/>
                <w:lang w:eastAsia="pl-PL"/>
              </w:rPr>
              <w:t xml:space="preserve"> tym zakresie nie jest przedmiotem niniejszego projektu i wymaga osobnej analizy.</w:t>
            </w:r>
          </w:p>
        </w:tc>
      </w:tr>
      <w:tr w:rsidR="00E321EA" w:rsidRPr="00375B9C" w14:paraId="63C20B7C" w14:textId="77777777" w:rsidTr="00A508E2">
        <w:tc>
          <w:tcPr>
            <w:tcW w:w="826" w:type="dxa"/>
          </w:tcPr>
          <w:p w14:paraId="62E18A4C" w14:textId="77777777" w:rsidR="00E321EA" w:rsidRDefault="00E321EA" w:rsidP="00E321EA">
            <w:pPr>
              <w:pStyle w:val="Akapitzlist"/>
              <w:numPr>
                <w:ilvl w:val="0"/>
                <w:numId w:val="1"/>
              </w:numPr>
            </w:pPr>
          </w:p>
        </w:tc>
        <w:tc>
          <w:tcPr>
            <w:tcW w:w="2708" w:type="dxa"/>
            <w:vAlign w:val="center"/>
          </w:tcPr>
          <w:p w14:paraId="01837D0D" w14:textId="14840782" w:rsidR="00E321EA" w:rsidRPr="00E321EA" w:rsidRDefault="00E321EA" w:rsidP="00E321EA">
            <w:pPr>
              <w:rPr>
                <w:rFonts w:cs="Times New Roman"/>
                <w:bCs/>
              </w:rPr>
            </w:pPr>
            <w:r w:rsidRPr="00E321EA">
              <w:rPr>
                <w:rFonts w:cs="Times New Roman"/>
                <w:bCs/>
              </w:rPr>
              <w:t>SA w Warszawie</w:t>
            </w:r>
          </w:p>
        </w:tc>
        <w:tc>
          <w:tcPr>
            <w:tcW w:w="1696" w:type="dxa"/>
            <w:vAlign w:val="center"/>
          </w:tcPr>
          <w:p w14:paraId="2C60FD5E" w14:textId="2820B0DD" w:rsidR="00E321EA" w:rsidRPr="00E321EA" w:rsidRDefault="00E321EA" w:rsidP="00E321EA">
            <w:pPr>
              <w:rPr>
                <w:rFonts w:cs="Times New Roman"/>
                <w:bCs/>
                <w:lang w:val="en-GB"/>
              </w:rPr>
            </w:pPr>
            <w:r w:rsidRPr="00E321EA">
              <w:rPr>
                <w:rFonts w:cs="Times New Roman"/>
                <w:bCs/>
                <w:lang w:val="en-GB"/>
              </w:rPr>
              <w:t xml:space="preserve">art. 3 </w:t>
            </w:r>
            <w:proofErr w:type="spellStart"/>
            <w:r w:rsidRPr="00E321EA">
              <w:rPr>
                <w:rFonts w:cs="Times New Roman"/>
                <w:bCs/>
                <w:lang w:val="en-GB"/>
              </w:rPr>
              <w:t>pkt</w:t>
            </w:r>
            <w:proofErr w:type="spellEnd"/>
            <w:r w:rsidRPr="00E321EA">
              <w:rPr>
                <w:rFonts w:cs="Times New Roman"/>
                <w:bCs/>
                <w:lang w:val="en-GB"/>
              </w:rPr>
              <w:t xml:space="preserve"> 3 lit. b (art. 694(3a) § 3 </w:t>
            </w:r>
            <w:proofErr w:type="spellStart"/>
            <w:r w:rsidRPr="00E321EA">
              <w:rPr>
                <w:rFonts w:cs="Times New Roman"/>
                <w:bCs/>
                <w:lang w:val="en-GB"/>
              </w:rPr>
              <w:t>k.p.c</w:t>
            </w:r>
            <w:proofErr w:type="spellEnd"/>
            <w:r w:rsidRPr="00E321EA">
              <w:rPr>
                <w:rFonts w:cs="Times New Roman"/>
                <w:bCs/>
                <w:lang w:val="en-GB"/>
              </w:rPr>
              <w:t>.)</w:t>
            </w:r>
          </w:p>
        </w:tc>
        <w:tc>
          <w:tcPr>
            <w:tcW w:w="3335" w:type="dxa"/>
            <w:vAlign w:val="center"/>
          </w:tcPr>
          <w:p w14:paraId="1FE4C7FB" w14:textId="5351E37D" w:rsidR="00E321EA" w:rsidRPr="00E321EA" w:rsidRDefault="00E321EA" w:rsidP="00E321EA">
            <w:pPr>
              <w:jc w:val="both"/>
              <w:rPr>
                <w:rFonts w:eastAsia="Open Sans Light" w:cs="Times New Roman"/>
                <w:bCs/>
              </w:rPr>
            </w:pPr>
            <w:r w:rsidRPr="00E321EA">
              <w:rPr>
                <w:rFonts w:eastAsia="Open Sans Light" w:cs="Times New Roman"/>
                <w:bCs/>
              </w:rPr>
              <w:t>jeżeli …</w:t>
            </w:r>
            <w:r w:rsidR="00085870" w:rsidRPr="00E321EA">
              <w:rPr>
                <w:rFonts w:eastAsia="Open Sans Light" w:cs="Times New Roman"/>
                <w:bCs/>
              </w:rPr>
              <w:t>……</w:t>
            </w:r>
            <w:r w:rsidRPr="00E321EA">
              <w:rPr>
                <w:rFonts w:eastAsia="Open Sans Light" w:cs="Times New Roman"/>
                <w:bCs/>
              </w:rPr>
              <w:t xml:space="preserve">przewodniczący wzywa do wniesienia pisma za pośrednictwem systemu teleinformatycznego w </w:t>
            </w:r>
            <w:r w:rsidRPr="00E321EA">
              <w:rPr>
                <w:rFonts w:eastAsia="Open Sans Light" w:cs="Times New Roman"/>
                <w:bCs/>
              </w:rPr>
              <w:lastRenderedPageBreak/>
              <w:t>terminie tygodniowym</w:t>
            </w:r>
            <w:r w:rsidR="00085870" w:rsidRPr="00E321EA">
              <w:rPr>
                <w:rFonts w:eastAsia="Open Sans Light" w:cs="Times New Roman"/>
                <w:bCs/>
              </w:rPr>
              <w:t xml:space="preserve"> …</w:t>
            </w:r>
            <w:r w:rsidRPr="00E321EA">
              <w:rPr>
                <w:rFonts w:eastAsia="Open Sans Light" w:cs="Times New Roman"/>
                <w:bCs/>
              </w:rPr>
              <w:t>.uściślenie nie przewodniczący tylko osoba prowadząca sprawę</w:t>
            </w:r>
          </w:p>
        </w:tc>
        <w:tc>
          <w:tcPr>
            <w:tcW w:w="4046" w:type="dxa"/>
          </w:tcPr>
          <w:p w14:paraId="3D77701B" w14:textId="77777777" w:rsidR="00E321EA" w:rsidRPr="00E321EA" w:rsidRDefault="00E321EA" w:rsidP="00E321EA">
            <w:pPr>
              <w:autoSpaceDE w:val="0"/>
              <w:autoSpaceDN w:val="0"/>
              <w:adjustRightInd w:val="0"/>
              <w:jc w:val="both"/>
              <w:rPr>
                <w:rFonts w:eastAsia="Times New Roman" w:cs="Times New Roman"/>
                <w:b/>
                <w:lang w:eastAsia="pl-PL"/>
              </w:rPr>
            </w:pPr>
            <w:r w:rsidRPr="00E321EA">
              <w:rPr>
                <w:rFonts w:eastAsia="Times New Roman" w:cs="Times New Roman"/>
                <w:b/>
                <w:lang w:eastAsia="pl-PL"/>
              </w:rPr>
              <w:lastRenderedPageBreak/>
              <w:t>Uwaga nieuwzględniona</w:t>
            </w:r>
          </w:p>
          <w:p w14:paraId="26D8BC71" w14:textId="653EC603" w:rsidR="00E321EA" w:rsidRPr="00E321EA" w:rsidRDefault="00E321EA" w:rsidP="00E321EA">
            <w:pPr>
              <w:autoSpaceDE w:val="0"/>
              <w:autoSpaceDN w:val="0"/>
              <w:adjustRightInd w:val="0"/>
              <w:jc w:val="both"/>
              <w:rPr>
                <w:rFonts w:eastAsia="Times New Roman" w:cs="Times New Roman"/>
                <w:b/>
                <w:lang w:eastAsia="pl-PL"/>
              </w:rPr>
            </w:pPr>
            <w:r w:rsidRPr="00E321EA">
              <w:rPr>
                <w:rFonts w:eastAsia="Times New Roman" w:cs="Times New Roman"/>
                <w:bCs/>
                <w:lang w:eastAsia="pl-PL"/>
              </w:rPr>
              <w:t xml:space="preserve">Oczywistym jest, że jeżeli w przepisach mowa jest o przewodniczącym to jest nim </w:t>
            </w:r>
            <w:r w:rsidRPr="00E321EA">
              <w:rPr>
                <w:rFonts w:eastAsia="Times New Roman" w:cs="Times New Roman"/>
                <w:bCs/>
                <w:lang w:eastAsia="pl-PL"/>
              </w:rPr>
              <w:lastRenderedPageBreak/>
              <w:t xml:space="preserve">przewodniczący składu </w:t>
            </w:r>
            <w:r w:rsidR="00085870" w:rsidRPr="00E321EA">
              <w:rPr>
                <w:rFonts w:eastAsia="Times New Roman" w:cs="Times New Roman"/>
                <w:bCs/>
                <w:lang w:eastAsia="pl-PL"/>
              </w:rPr>
              <w:t>rozpoznającego,</w:t>
            </w:r>
            <w:r w:rsidRPr="00E321EA">
              <w:rPr>
                <w:rFonts w:eastAsia="Times New Roman" w:cs="Times New Roman"/>
                <w:bCs/>
                <w:lang w:eastAsia="pl-PL"/>
              </w:rPr>
              <w:t xml:space="preserve"> </w:t>
            </w:r>
            <w:r w:rsidR="00085870" w:rsidRPr="00E321EA">
              <w:rPr>
                <w:rFonts w:eastAsia="Times New Roman" w:cs="Times New Roman"/>
                <w:bCs/>
                <w:lang w:eastAsia="pl-PL"/>
              </w:rPr>
              <w:t>czyli osoba</w:t>
            </w:r>
            <w:r w:rsidRPr="00E321EA">
              <w:rPr>
                <w:rFonts w:eastAsia="Times New Roman" w:cs="Times New Roman"/>
                <w:bCs/>
                <w:lang w:eastAsia="pl-PL"/>
              </w:rPr>
              <w:t xml:space="preserve"> rozpoznająca sprawę, a nie przewodniczący wydziału.</w:t>
            </w:r>
          </w:p>
        </w:tc>
      </w:tr>
      <w:tr w:rsidR="0042486D" w:rsidRPr="00375B9C" w14:paraId="62773BF3" w14:textId="77777777" w:rsidTr="00A508E2">
        <w:tc>
          <w:tcPr>
            <w:tcW w:w="826" w:type="dxa"/>
          </w:tcPr>
          <w:p w14:paraId="56C651A2" w14:textId="77777777" w:rsidR="0042486D" w:rsidRDefault="0042486D" w:rsidP="0042486D">
            <w:pPr>
              <w:pStyle w:val="Akapitzlist"/>
              <w:numPr>
                <w:ilvl w:val="0"/>
                <w:numId w:val="1"/>
              </w:numPr>
            </w:pPr>
          </w:p>
        </w:tc>
        <w:tc>
          <w:tcPr>
            <w:tcW w:w="2708" w:type="dxa"/>
            <w:vAlign w:val="center"/>
          </w:tcPr>
          <w:p w14:paraId="11369257" w14:textId="5CC4FADF" w:rsidR="0042486D" w:rsidRPr="0042486D" w:rsidRDefault="0042486D" w:rsidP="0042486D">
            <w:pPr>
              <w:rPr>
                <w:rFonts w:cs="Times New Roman"/>
                <w:bCs/>
              </w:rPr>
            </w:pPr>
            <w:r w:rsidRPr="0042486D">
              <w:rPr>
                <w:rStyle w:val="FontStyle16"/>
                <w:rFonts w:asciiTheme="minorHAnsi" w:hAnsiTheme="minorHAnsi"/>
                <w:sz w:val="24"/>
                <w:szCs w:val="24"/>
              </w:rPr>
              <w:t>SA w Poznaniu</w:t>
            </w:r>
          </w:p>
        </w:tc>
        <w:tc>
          <w:tcPr>
            <w:tcW w:w="1696" w:type="dxa"/>
            <w:vAlign w:val="center"/>
          </w:tcPr>
          <w:p w14:paraId="7598C8F4" w14:textId="0BD92F0E" w:rsidR="0042486D" w:rsidRPr="0042486D" w:rsidRDefault="0042486D" w:rsidP="0042486D">
            <w:pPr>
              <w:rPr>
                <w:rFonts w:cs="Times New Roman"/>
                <w:bCs/>
                <w:lang w:val="en-GB"/>
              </w:rPr>
            </w:pPr>
            <w:r w:rsidRPr="0042486D">
              <w:rPr>
                <w:rFonts w:cs="Times New Roman"/>
                <w:bCs/>
                <w:lang w:val="en-US"/>
              </w:rPr>
              <w:t>Art. 10</w:t>
            </w:r>
          </w:p>
        </w:tc>
        <w:tc>
          <w:tcPr>
            <w:tcW w:w="3335" w:type="dxa"/>
            <w:vAlign w:val="center"/>
          </w:tcPr>
          <w:p w14:paraId="01621F12" w14:textId="25EEF119" w:rsidR="0042486D" w:rsidRPr="0042486D" w:rsidRDefault="0042486D" w:rsidP="0042486D">
            <w:pPr>
              <w:jc w:val="both"/>
              <w:rPr>
                <w:rFonts w:eastAsia="Open Sans Light" w:cs="Times New Roman"/>
                <w:bCs/>
              </w:rPr>
            </w:pPr>
            <w:r w:rsidRPr="0042486D">
              <w:rPr>
                <w:rStyle w:val="FontStyle16"/>
                <w:rFonts w:asciiTheme="minorHAnsi" w:hAnsiTheme="minorHAnsi"/>
                <w:sz w:val="24"/>
                <w:szCs w:val="24"/>
              </w:rPr>
              <w:t>W art. 10 projektu po słowach „nałożonej grzywny nie skierowano do egzekucji” dopisać „nałożoną grzywnę skierowano do egzekucji” (postępowanie egzekucyjne dot. nałożonej grzywny często trwa ok. 12 miesięcy i w tym czasie, wobec braku ww. dodatkowego zapisu nie będzie możliwości wpisania w rejestrze dla danego podmiotu wzmianki o niewykonywaniu obowiązku złożenia dokumentów finansowych</w:t>
            </w:r>
          </w:p>
        </w:tc>
        <w:tc>
          <w:tcPr>
            <w:tcW w:w="4046" w:type="dxa"/>
          </w:tcPr>
          <w:p w14:paraId="5AA40AB9" w14:textId="77777777" w:rsidR="0042486D" w:rsidRPr="0042486D" w:rsidRDefault="0042486D" w:rsidP="0042486D">
            <w:pPr>
              <w:spacing w:before="120"/>
              <w:jc w:val="both"/>
              <w:rPr>
                <w:rFonts w:cs="Times New Roman"/>
                <w:b/>
              </w:rPr>
            </w:pPr>
            <w:r w:rsidRPr="0042486D">
              <w:rPr>
                <w:rFonts w:cs="Times New Roman"/>
                <w:b/>
              </w:rPr>
              <w:t>Uwaga nieuwzględniona</w:t>
            </w:r>
          </w:p>
          <w:p w14:paraId="2C4EB4B5" w14:textId="623C2F5A" w:rsidR="0042486D" w:rsidRPr="0042486D" w:rsidRDefault="0042486D" w:rsidP="0042486D">
            <w:pPr>
              <w:autoSpaceDE w:val="0"/>
              <w:autoSpaceDN w:val="0"/>
              <w:adjustRightInd w:val="0"/>
              <w:jc w:val="both"/>
              <w:rPr>
                <w:rFonts w:eastAsia="Times New Roman" w:cs="Times New Roman"/>
                <w:b/>
                <w:lang w:eastAsia="pl-PL"/>
              </w:rPr>
            </w:pPr>
            <w:r w:rsidRPr="0042486D">
              <w:rPr>
                <w:rFonts w:cs="Times New Roman"/>
                <w:bCs/>
              </w:rPr>
              <w:t xml:space="preserve">Jak wskazano w pkt III uzasadnienia projekt ustawy przewiduje, że do postępowań przed sądem rejestrowym wszczętych i niezakończonych przed dniem wejścia w życie niniejszej ustawy znajdą zastosowanie przepisy dotychczasowe. Wyjątek od tej zasady ma dotyczyć postępowań przymuszających do złożenia dokumentów, o których mowa w art. 9a ust. 2 ustawy zmienianej w art. 1, w których przed dniem wejścia w życie niniejszej ustawy nie nałożono grzywny, grzywny nałożonej nie skierowano do egzekucji albo pomimo uiszczenia wszystkich grzywien dokumenty, o których mowa w art. 9a ust. 2 lub oświadczenia, o których mowa w art. 70a ustawy o rachunkowości, nie zostały złożone. W tym przypadku za celowe uznano zastosowanie przepisów ustawy zmienianej w art. 1 ustawy nowelizującej w brzmieniu nadanym </w:t>
            </w:r>
            <w:r w:rsidRPr="0042486D">
              <w:rPr>
                <w:rFonts w:cs="Times New Roman"/>
                <w:bCs/>
              </w:rPr>
              <w:lastRenderedPageBreak/>
              <w:t xml:space="preserve">tą ustawą. Rozwiązanie takie ma na celu dopuszczenie możliwości wpisu do Rejestru wzmianki o niewykonywaniu obowiązku złożenia dokumentów finansowych pomimo wezwania sądu w postępowaniach przymuszających, będących w chwili wejścia w życie nowelizacji w toku. Tym samym postępowania takie uległyby zakończeniu z chwilą wpisu wzmianki. Nie dotyczyłoby to jednak postępowań, w których nałożono grzywnę. Uznano bowiem, że w takich sytuacjach zastosowanie nowych przepisów mogłoby generować czynności związane z koniecznością uchylania grzywien lub umarzania egzekucji, a nadto rodzić ryzyko omyłkowego kontynuowania postępowania egzekucyjnego mimo wpisu wzmianki. Czynności takie stanowiłyby znaczne obciążenie dla sądów rejestrowych. Ponadto wzięto pod uwagę, że większość toczących się obecnie postępowań przymuszających, w których nałożono grzywnę, znajduje się już na etapie postępowania egzekucyjnego. Rezygnacja z prowadzenia takich postępowań na doczasowych </w:t>
            </w:r>
            <w:r w:rsidRPr="0042486D">
              <w:rPr>
                <w:rFonts w:cs="Times New Roman"/>
                <w:bCs/>
              </w:rPr>
              <w:lastRenderedPageBreak/>
              <w:t xml:space="preserve">zasadach skutkowałaby koniecznością pokrycia kosztów prowadzonych egzekucji przez Skarb Państwa. Byłoby to rozwiązanie nieracjonalne zważywszy, że część z prowadzonych postępowań egzekucyjnych byłaby skuteczna.   </w:t>
            </w:r>
          </w:p>
        </w:tc>
      </w:tr>
    </w:tbl>
    <w:p w14:paraId="79D09640" w14:textId="77777777" w:rsidR="0060769F" w:rsidRPr="00375B9C" w:rsidRDefault="0060769F"/>
    <w:p w14:paraId="5BA544DA" w14:textId="77777777" w:rsidR="0060769F" w:rsidRPr="00375B9C" w:rsidRDefault="0060769F"/>
    <w:p w14:paraId="6F6E89E6" w14:textId="77777777" w:rsidR="0060769F" w:rsidRPr="00375B9C" w:rsidRDefault="0060769F"/>
    <w:p w14:paraId="7ACCF4F0" w14:textId="77777777" w:rsidR="007372D9" w:rsidRPr="00375B9C" w:rsidRDefault="007372D9"/>
    <w:p w14:paraId="05E750F1" w14:textId="77777777" w:rsidR="007372D9" w:rsidRPr="00375B9C" w:rsidRDefault="007372D9"/>
    <w:p w14:paraId="5244494F" w14:textId="77777777" w:rsidR="007372D9" w:rsidRPr="00375B9C" w:rsidRDefault="007372D9"/>
    <w:p w14:paraId="19BDF2A3" w14:textId="77777777" w:rsidR="007372D9" w:rsidRPr="00375B9C" w:rsidRDefault="007372D9"/>
    <w:sectPr w:rsidR="007372D9" w:rsidRPr="00375B9C" w:rsidSect="00F0419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99CE" w14:textId="77777777" w:rsidR="00176080" w:rsidRDefault="00176080" w:rsidP="00176080">
      <w:pPr>
        <w:spacing w:after="0" w:line="240" w:lineRule="auto"/>
      </w:pPr>
      <w:r>
        <w:separator/>
      </w:r>
    </w:p>
  </w:endnote>
  <w:endnote w:type="continuationSeparator" w:id="0">
    <w:p w14:paraId="0CCED61A" w14:textId="77777777" w:rsidR="00176080" w:rsidRDefault="00176080" w:rsidP="00176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69CB5" w14:textId="77777777" w:rsidR="00176080" w:rsidRDefault="00176080" w:rsidP="00176080">
      <w:pPr>
        <w:spacing w:after="0" w:line="240" w:lineRule="auto"/>
      </w:pPr>
      <w:r>
        <w:separator/>
      </w:r>
    </w:p>
  </w:footnote>
  <w:footnote w:type="continuationSeparator" w:id="0">
    <w:p w14:paraId="22E18456" w14:textId="77777777" w:rsidR="00176080" w:rsidRDefault="00176080" w:rsidP="001760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20F6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4233A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CEEB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E72B3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4238D1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BB581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171147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DF9034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305A6D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8A3C09"/>
    <w:multiLevelType w:val="hybridMultilevel"/>
    <w:tmpl w:val="B7549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A8149A"/>
    <w:multiLevelType w:val="hybridMultilevel"/>
    <w:tmpl w:val="1564FFE6"/>
    <w:lvl w:ilvl="0" w:tplc="F6C6B7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567264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98B7FE6"/>
    <w:multiLevelType w:val="hybridMultilevel"/>
    <w:tmpl w:val="FB1C22CC"/>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3852E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94719945">
    <w:abstractNumId w:val="12"/>
  </w:num>
  <w:num w:numId="2" w16cid:durableId="1907715615">
    <w:abstractNumId w:val="9"/>
  </w:num>
  <w:num w:numId="3" w16cid:durableId="628822900">
    <w:abstractNumId w:val="6"/>
  </w:num>
  <w:num w:numId="4" w16cid:durableId="427777955">
    <w:abstractNumId w:val="1"/>
  </w:num>
  <w:num w:numId="5" w16cid:durableId="1423141289">
    <w:abstractNumId w:val="13"/>
  </w:num>
  <w:num w:numId="6" w16cid:durableId="868179845">
    <w:abstractNumId w:val="5"/>
  </w:num>
  <w:num w:numId="7" w16cid:durableId="1878813630">
    <w:abstractNumId w:val="11"/>
  </w:num>
  <w:num w:numId="8" w16cid:durableId="1261333227">
    <w:abstractNumId w:val="4"/>
  </w:num>
  <w:num w:numId="9" w16cid:durableId="444234043">
    <w:abstractNumId w:val="0"/>
  </w:num>
  <w:num w:numId="10" w16cid:durableId="773213003">
    <w:abstractNumId w:val="3"/>
  </w:num>
  <w:num w:numId="11" w16cid:durableId="570821419">
    <w:abstractNumId w:val="8"/>
  </w:num>
  <w:num w:numId="12" w16cid:durableId="478227668">
    <w:abstractNumId w:val="2"/>
  </w:num>
  <w:num w:numId="13" w16cid:durableId="718284664">
    <w:abstractNumId w:val="7"/>
  </w:num>
  <w:num w:numId="14" w16cid:durableId="13133719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E89"/>
    <w:rsid w:val="00001650"/>
    <w:rsid w:val="000338F0"/>
    <w:rsid w:val="00062DC3"/>
    <w:rsid w:val="00085870"/>
    <w:rsid w:val="000C4FF8"/>
    <w:rsid w:val="00130ACC"/>
    <w:rsid w:val="001415D4"/>
    <w:rsid w:val="00165029"/>
    <w:rsid w:val="00176080"/>
    <w:rsid w:val="00190A11"/>
    <w:rsid w:val="001B471A"/>
    <w:rsid w:val="00200CC4"/>
    <w:rsid w:val="002061BF"/>
    <w:rsid w:val="00214BB7"/>
    <w:rsid w:val="00220250"/>
    <w:rsid w:val="00220E78"/>
    <w:rsid w:val="00222DA3"/>
    <w:rsid w:val="00224CD0"/>
    <w:rsid w:val="002404AB"/>
    <w:rsid w:val="002419D7"/>
    <w:rsid w:val="00256809"/>
    <w:rsid w:val="0026627D"/>
    <w:rsid w:val="00285CC2"/>
    <w:rsid w:val="00292813"/>
    <w:rsid w:val="00296713"/>
    <w:rsid w:val="00296CE0"/>
    <w:rsid w:val="002A0753"/>
    <w:rsid w:val="002B596D"/>
    <w:rsid w:val="002B68D0"/>
    <w:rsid w:val="002C2C50"/>
    <w:rsid w:val="002C6CF5"/>
    <w:rsid w:val="002F57C0"/>
    <w:rsid w:val="00323880"/>
    <w:rsid w:val="00323BE2"/>
    <w:rsid w:val="003522CC"/>
    <w:rsid w:val="00355D05"/>
    <w:rsid w:val="003641EA"/>
    <w:rsid w:val="00374289"/>
    <w:rsid w:val="00375B9C"/>
    <w:rsid w:val="0038226E"/>
    <w:rsid w:val="00382D32"/>
    <w:rsid w:val="00397237"/>
    <w:rsid w:val="003A0897"/>
    <w:rsid w:val="003C6E89"/>
    <w:rsid w:val="003D6302"/>
    <w:rsid w:val="003D68FD"/>
    <w:rsid w:val="003E0C45"/>
    <w:rsid w:val="003F023D"/>
    <w:rsid w:val="003F79B5"/>
    <w:rsid w:val="00413A5C"/>
    <w:rsid w:val="0042486D"/>
    <w:rsid w:val="00452DA0"/>
    <w:rsid w:val="00474EF0"/>
    <w:rsid w:val="00480CF3"/>
    <w:rsid w:val="00482A45"/>
    <w:rsid w:val="00485D46"/>
    <w:rsid w:val="00486C78"/>
    <w:rsid w:val="004873D8"/>
    <w:rsid w:val="004B489F"/>
    <w:rsid w:val="004D0040"/>
    <w:rsid w:val="00512FB3"/>
    <w:rsid w:val="00516E94"/>
    <w:rsid w:val="0052317E"/>
    <w:rsid w:val="0052702C"/>
    <w:rsid w:val="005A4CCC"/>
    <w:rsid w:val="005B2D06"/>
    <w:rsid w:val="005B341D"/>
    <w:rsid w:val="005E3FEB"/>
    <w:rsid w:val="0060769F"/>
    <w:rsid w:val="00613FBC"/>
    <w:rsid w:val="006216C0"/>
    <w:rsid w:val="00624237"/>
    <w:rsid w:val="00630541"/>
    <w:rsid w:val="0065019D"/>
    <w:rsid w:val="006545D9"/>
    <w:rsid w:val="0066482A"/>
    <w:rsid w:val="00675129"/>
    <w:rsid w:val="006C400C"/>
    <w:rsid w:val="006D5027"/>
    <w:rsid w:val="006E0715"/>
    <w:rsid w:val="006E0C59"/>
    <w:rsid w:val="006F4F00"/>
    <w:rsid w:val="007372D9"/>
    <w:rsid w:val="0075040B"/>
    <w:rsid w:val="0075556B"/>
    <w:rsid w:val="00755A77"/>
    <w:rsid w:val="007703F6"/>
    <w:rsid w:val="00785FAD"/>
    <w:rsid w:val="00786546"/>
    <w:rsid w:val="00790E0C"/>
    <w:rsid w:val="00790E7F"/>
    <w:rsid w:val="00796A7B"/>
    <w:rsid w:val="007A63F1"/>
    <w:rsid w:val="007A7C63"/>
    <w:rsid w:val="007A7EA9"/>
    <w:rsid w:val="007B59D4"/>
    <w:rsid w:val="007D3172"/>
    <w:rsid w:val="007E6F18"/>
    <w:rsid w:val="008435EF"/>
    <w:rsid w:val="008450D4"/>
    <w:rsid w:val="00850376"/>
    <w:rsid w:val="008577FC"/>
    <w:rsid w:val="00881D7B"/>
    <w:rsid w:val="00896FCE"/>
    <w:rsid w:val="008A5327"/>
    <w:rsid w:val="008E2B18"/>
    <w:rsid w:val="008F48DE"/>
    <w:rsid w:val="009062A8"/>
    <w:rsid w:val="00933E76"/>
    <w:rsid w:val="0094377A"/>
    <w:rsid w:val="00956E95"/>
    <w:rsid w:val="00963395"/>
    <w:rsid w:val="00981FDE"/>
    <w:rsid w:val="009907F7"/>
    <w:rsid w:val="009952DA"/>
    <w:rsid w:val="009B0CE0"/>
    <w:rsid w:val="009C17C6"/>
    <w:rsid w:val="009C6C27"/>
    <w:rsid w:val="009E1255"/>
    <w:rsid w:val="009E3BDD"/>
    <w:rsid w:val="00A06CAB"/>
    <w:rsid w:val="00A32349"/>
    <w:rsid w:val="00A41E79"/>
    <w:rsid w:val="00A5083C"/>
    <w:rsid w:val="00A508E2"/>
    <w:rsid w:val="00A5368E"/>
    <w:rsid w:val="00A67F9B"/>
    <w:rsid w:val="00A77CAB"/>
    <w:rsid w:val="00AC4614"/>
    <w:rsid w:val="00AE61B6"/>
    <w:rsid w:val="00B10E37"/>
    <w:rsid w:val="00B10E55"/>
    <w:rsid w:val="00B60892"/>
    <w:rsid w:val="00B805F3"/>
    <w:rsid w:val="00BD5A37"/>
    <w:rsid w:val="00BF7111"/>
    <w:rsid w:val="00C3635C"/>
    <w:rsid w:val="00C609D9"/>
    <w:rsid w:val="00C770B7"/>
    <w:rsid w:val="00C8448C"/>
    <w:rsid w:val="00C84FD3"/>
    <w:rsid w:val="00C9059C"/>
    <w:rsid w:val="00CA4108"/>
    <w:rsid w:val="00CB31A1"/>
    <w:rsid w:val="00CF7E65"/>
    <w:rsid w:val="00D01AAA"/>
    <w:rsid w:val="00D04753"/>
    <w:rsid w:val="00D05AF3"/>
    <w:rsid w:val="00D06908"/>
    <w:rsid w:val="00D26736"/>
    <w:rsid w:val="00D346D2"/>
    <w:rsid w:val="00D75F96"/>
    <w:rsid w:val="00D82DDA"/>
    <w:rsid w:val="00D87ABE"/>
    <w:rsid w:val="00D96C8E"/>
    <w:rsid w:val="00DA7663"/>
    <w:rsid w:val="00DC4B01"/>
    <w:rsid w:val="00E0122A"/>
    <w:rsid w:val="00E24C3C"/>
    <w:rsid w:val="00E321EA"/>
    <w:rsid w:val="00E35105"/>
    <w:rsid w:val="00E378F2"/>
    <w:rsid w:val="00E41482"/>
    <w:rsid w:val="00E427C6"/>
    <w:rsid w:val="00E42E4E"/>
    <w:rsid w:val="00E53EE4"/>
    <w:rsid w:val="00E706A0"/>
    <w:rsid w:val="00E714BF"/>
    <w:rsid w:val="00E73058"/>
    <w:rsid w:val="00E92BE9"/>
    <w:rsid w:val="00EA0149"/>
    <w:rsid w:val="00EA4646"/>
    <w:rsid w:val="00EF755A"/>
    <w:rsid w:val="00F0419C"/>
    <w:rsid w:val="00F06B11"/>
    <w:rsid w:val="00F2685D"/>
    <w:rsid w:val="00F73F4C"/>
    <w:rsid w:val="00F811FF"/>
    <w:rsid w:val="00F84D68"/>
    <w:rsid w:val="00FB6BDF"/>
    <w:rsid w:val="00FC2A7B"/>
    <w:rsid w:val="00FE041F"/>
    <w:rsid w:val="00FE0C0D"/>
    <w:rsid w:val="00FE0F5A"/>
    <w:rsid w:val="00FF0C5B"/>
    <w:rsid w:val="00FF1DDA"/>
    <w:rsid w:val="00FF3741"/>
    <w:rsid w:val="00FF4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B34F7"/>
  <w15:chartTrackingRefBased/>
  <w15:docId w15:val="{D609E8BF-ECC5-426F-8017-819043DB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C6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C6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C6E8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C6E8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C6E8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C6E8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C6E8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C6E8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C6E8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6E8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C6E8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C6E8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C6E8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C6E8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C6E8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C6E8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C6E8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C6E89"/>
    <w:rPr>
      <w:rFonts w:eastAsiaTheme="majorEastAsia" w:cstheme="majorBidi"/>
      <w:color w:val="272727" w:themeColor="text1" w:themeTint="D8"/>
    </w:rPr>
  </w:style>
  <w:style w:type="paragraph" w:styleId="Tytu">
    <w:name w:val="Title"/>
    <w:basedOn w:val="Normalny"/>
    <w:next w:val="Normalny"/>
    <w:link w:val="TytuZnak"/>
    <w:uiPriority w:val="10"/>
    <w:qFormat/>
    <w:rsid w:val="003C6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C6E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C6E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C6E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C6E89"/>
    <w:pPr>
      <w:spacing w:before="160"/>
      <w:jc w:val="center"/>
    </w:pPr>
    <w:rPr>
      <w:i/>
      <w:iCs/>
      <w:color w:val="404040" w:themeColor="text1" w:themeTint="BF"/>
    </w:rPr>
  </w:style>
  <w:style w:type="character" w:customStyle="1" w:styleId="CytatZnak">
    <w:name w:val="Cytat Znak"/>
    <w:basedOn w:val="Domylnaczcionkaakapitu"/>
    <w:link w:val="Cytat"/>
    <w:uiPriority w:val="29"/>
    <w:rsid w:val="003C6E89"/>
    <w:rPr>
      <w:i/>
      <w:iCs/>
      <w:color w:val="404040" w:themeColor="text1" w:themeTint="BF"/>
    </w:rPr>
  </w:style>
  <w:style w:type="paragraph" w:styleId="Akapitzlist">
    <w:name w:val="List Paragraph"/>
    <w:basedOn w:val="Normalny"/>
    <w:uiPriority w:val="34"/>
    <w:qFormat/>
    <w:rsid w:val="003C6E89"/>
    <w:pPr>
      <w:ind w:left="720"/>
      <w:contextualSpacing/>
    </w:pPr>
  </w:style>
  <w:style w:type="character" w:styleId="Wyrnienieintensywne">
    <w:name w:val="Intense Emphasis"/>
    <w:basedOn w:val="Domylnaczcionkaakapitu"/>
    <w:uiPriority w:val="21"/>
    <w:qFormat/>
    <w:rsid w:val="003C6E89"/>
    <w:rPr>
      <w:i/>
      <w:iCs/>
      <w:color w:val="0F4761" w:themeColor="accent1" w:themeShade="BF"/>
    </w:rPr>
  </w:style>
  <w:style w:type="paragraph" w:styleId="Cytatintensywny">
    <w:name w:val="Intense Quote"/>
    <w:basedOn w:val="Normalny"/>
    <w:next w:val="Normalny"/>
    <w:link w:val="CytatintensywnyZnak"/>
    <w:uiPriority w:val="30"/>
    <w:qFormat/>
    <w:rsid w:val="003C6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C6E89"/>
    <w:rPr>
      <w:i/>
      <w:iCs/>
      <w:color w:val="0F4761" w:themeColor="accent1" w:themeShade="BF"/>
    </w:rPr>
  </w:style>
  <w:style w:type="character" w:styleId="Odwoanieintensywne">
    <w:name w:val="Intense Reference"/>
    <w:basedOn w:val="Domylnaczcionkaakapitu"/>
    <w:uiPriority w:val="32"/>
    <w:qFormat/>
    <w:rsid w:val="003C6E89"/>
    <w:rPr>
      <w:b/>
      <w:bCs/>
      <w:smallCaps/>
      <w:color w:val="0F4761" w:themeColor="accent1" w:themeShade="BF"/>
      <w:spacing w:val="5"/>
    </w:rPr>
  </w:style>
  <w:style w:type="table" w:styleId="Tabela-Siatka">
    <w:name w:val="Table Grid"/>
    <w:basedOn w:val="Standardowy"/>
    <w:uiPriority w:val="39"/>
    <w:rsid w:val="003C6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7608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6080"/>
    <w:rPr>
      <w:sz w:val="20"/>
      <w:szCs w:val="20"/>
    </w:rPr>
  </w:style>
  <w:style w:type="character" w:styleId="Odwoanieprzypisudolnego">
    <w:name w:val="footnote reference"/>
    <w:basedOn w:val="Domylnaczcionkaakapitu"/>
    <w:uiPriority w:val="99"/>
    <w:semiHidden/>
    <w:unhideWhenUsed/>
    <w:rsid w:val="00176080"/>
    <w:rPr>
      <w:vertAlign w:val="superscript"/>
    </w:rPr>
  </w:style>
  <w:style w:type="paragraph" w:customStyle="1" w:styleId="Default">
    <w:name w:val="Default"/>
    <w:rsid w:val="001415D4"/>
    <w:pPr>
      <w:autoSpaceDE w:val="0"/>
      <w:autoSpaceDN w:val="0"/>
      <w:adjustRightInd w:val="0"/>
      <w:spacing w:after="0" w:line="240" w:lineRule="auto"/>
    </w:pPr>
    <w:rPr>
      <w:rFonts w:ascii="Aptos" w:hAnsi="Aptos" w:cs="Aptos"/>
      <w:color w:val="000000"/>
      <w:kern w:val="0"/>
    </w:rPr>
  </w:style>
  <w:style w:type="paragraph" w:customStyle="1" w:styleId="ZUSTzmustartykuempunktem">
    <w:name w:val="Z/UST(§) – zm. ust. (§) artykułem (punktem)"/>
    <w:basedOn w:val="Normalny"/>
    <w:uiPriority w:val="30"/>
    <w:qFormat/>
    <w:rsid w:val="002B68D0"/>
    <w:pPr>
      <w:suppressAutoHyphens/>
      <w:autoSpaceDE w:val="0"/>
      <w:autoSpaceDN w:val="0"/>
      <w:adjustRightInd w:val="0"/>
      <w:spacing w:after="0" w:line="360" w:lineRule="auto"/>
      <w:ind w:left="510" w:firstLine="510"/>
      <w:jc w:val="both"/>
    </w:pPr>
    <w:rPr>
      <w:rFonts w:ascii="Times" w:eastAsiaTheme="minorEastAsia" w:hAnsi="Times" w:cs="Arial"/>
      <w:kern w:val="0"/>
      <w:szCs w:val="20"/>
      <w:lang w:eastAsia="pl-PL"/>
      <w14:ligatures w14:val="none"/>
    </w:rPr>
  </w:style>
  <w:style w:type="paragraph" w:customStyle="1" w:styleId="PKTpunkt">
    <w:name w:val="PKT – punkt"/>
    <w:uiPriority w:val="13"/>
    <w:qFormat/>
    <w:rsid w:val="002B68D0"/>
    <w:pPr>
      <w:spacing w:after="0" w:line="360" w:lineRule="auto"/>
      <w:ind w:left="510" w:hanging="510"/>
      <w:jc w:val="both"/>
    </w:pPr>
    <w:rPr>
      <w:rFonts w:ascii="Times" w:eastAsiaTheme="minorEastAsia" w:hAnsi="Times" w:cs="Arial"/>
      <w:bCs/>
      <w:kern w:val="0"/>
      <w:szCs w:val="20"/>
      <w:lang w:eastAsia="pl-PL"/>
      <w14:ligatures w14:val="none"/>
    </w:rPr>
  </w:style>
  <w:style w:type="character" w:styleId="Uwydatnienie">
    <w:name w:val="Emphasis"/>
    <w:basedOn w:val="Domylnaczcionkaakapitu"/>
    <w:uiPriority w:val="20"/>
    <w:qFormat/>
    <w:rsid w:val="002B68D0"/>
    <w:rPr>
      <w:i/>
      <w:iCs/>
    </w:rPr>
  </w:style>
  <w:style w:type="character" w:customStyle="1" w:styleId="FontStyle16">
    <w:name w:val="Font Style16"/>
    <w:basedOn w:val="Domylnaczcionkaakapitu"/>
    <w:uiPriority w:val="99"/>
    <w:rsid w:val="0042486D"/>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0A3AE-0513-4544-BDC5-A1487071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6236</Words>
  <Characters>37416</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Szczepańska Patrycja  (DL)</dc:creator>
  <cp:keywords/>
  <dc:description/>
  <cp:lastModifiedBy>Autor</cp:lastModifiedBy>
  <cp:revision>2</cp:revision>
  <dcterms:created xsi:type="dcterms:W3CDTF">2026-04-01T11:05:00Z</dcterms:created>
  <dcterms:modified xsi:type="dcterms:W3CDTF">2026-04-01T11:05:00Z</dcterms:modified>
</cp:coreProperties>
</file>